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2CBDD" w14:textId="02D08610" w:rsidR="004514FC" w:rsidRPr="006254EB" w:rsidRDefault="006254EB" w:rsidP="006254EB">
      <w:pPr>
        <w:rPr>
          <w:rFonts w:ascii="Garamond" w:hAnsi="Garamond"/>
          <w:b/>
          <w:bCs/>
          <w:color w:val="2E74B5" w:themeColor="accent5" w:themeShade="BF"/>
          <w:sz w:val="40"/>
          <w:szCs w:val="40"/>
          <w:lang w:val="pt-BR"/>
        </w:rPr>
      </w:pPr>
      <w:r w:rsidRPr="006254EB">
        <w:rPr>
          <w:rFonts w:ascii="Garamond" w:hAnsi="Garamond"/>
          <w:b/>
          <w:bCs/>
          <w:color w:val="2E74B5" w:themeColor="accent5" w:themeShade="BF"/>
          <w:sz w:val="40"/>
          <w:szCs w:val="40"/>
          <w:lang w:val="pt-BR"/>
        </w:rPr>
        <w:t>OVNI/UFO: A História Nunca Contada</w:t>
      </w:r>
    </w:p>
    <w:p w14:paraId="1D25709D" w14:textId="4BCB38D4" w:rsidR="004514FC" w:rsidRPr="006254EB" w:rsidRDefault="006254EB" w:rsidP="004514FC">
      <w:pPr>
        <w:rPr>
          <w:rFonts w:ascii="Garamond" w:hAnsi="Garamond"/>
          <w:b/>
          <w:bCs/>
          <w:i/>
          <w:iCs/>
          <w:color w:val="000000" w:themeColor="text1"/>
          <w:sz w:val="32"/>
          <w:szCs w:val="32"/>
          <w:lang w:val="pt-BR"/>
        </w:rPr>
      </w:pPr>
      <w:r w:rsidRPr="006254EB">
        <w:rPr>
          <w:rFonts w:ascii="Garamond" w:hAnsi="Garamond"/>
          <w:b/>
          <w:bCs/>
          <w:i/>
          <w:iCs/>
          <w:color w:val="000000" w:themeColor="text1"/>
          <w:sz w:val="32"/>
          <w:szCs w:val="32"/>
          <w:lang w:val="pt-BR"/>
        </w:rPr>
        <w:t>Uma Jornada Extraordinária pela Razão e pelo Cosmos</w:t>
      </w:r>
    </w:p>
    <w:p w14:paraId="6D214089" w14:textId="5688F4C7" w:rsidR="008D2D20" w:rsidRPr="006254EB" w:rsidRDefault="00D90898" w:rsidP="00E36EE8">
      <w:pPr>
        <w:spacing w:before="360"/>
        <w:rPr>
          <w:rFonts w:ascii="Garamond" w:hAnsi="Garamond"/>
          <w:b/>
          <w:bCs/>
          <w:color w:val="000000" w:themeColor="text1"/>
          <w:sz w:val="24"/>
          <w:szCs w:val="24"/>
          <w:lang w:val="pt-BR"/>
        </w:rPr>
      </w:pPr>
      <w:r w:rsidRPr="00D90898">
        <w:rPr>
          <w:rFonts w:ascii="Garamond" w:hAnsi="Garamond"/>
          <w:b/>
          <w:bCs/>
          <w:color w:val="000000" w:themeColor="text1"/>
          <w:sz w:val="24"/>
          <w:szCs w:val="24"/>
          <w:lang w:val="pt-BR"/>
        </w:rPr>
        <w:t>Análise Global da Obra</w:t>
      </w:r>
    </w:p>
    <w:p w14:paraId="4E052A80" w14:textId="5590A328" w:rsidR="00D90898" w:rsidRPr="00D90898" w:rsidRDefault="00D90898" w:rsidP="00191CB2">
      <w:pPr>
        <w:ind w:firstLine="289"/>
        <w:jc w:val="both"/>
        <w:rPr>
          <w:rFonts w:ascii="Garamond" w:hAnsi="Garamond"/>
          <w:color w:val="000000" w:themeColor="text1"/>
          <w:sz w:val="24"/>
          <w:szCs w:val="24"/>
          <w:lang w:val="pt-BR"/>
        </w:rPr>
      </w:pPr>
      <w:r w:rsidRPr="00D90898">
        <w:rPr>
          <w:rFonts w:ascii="Garamond" w:hAnsi="Garamond"/>
          <w:color w:val="000000" w:themeColor="text1"/>
          <w:sz w:val="24"/>
          <w:szCs w:val="24"/>
          <w:lang w:val="pt-BR"/>
        </w:rPr>
        <w:t>O livro distingue-se por abordar o fenómeno OVNI numa perspectiva séria, formal e perfeitamente compreensível, evitando o sensacionalismo. Destaca-se o seu rigor e natureza bem investigada. É uma obra que consegue equilibrar a profundidade filosófica, a precisão científica e uma linguagem clara, criando uma ponte entre Ciência e Filosofia. É para leitores que buscam uma base filosófica e científica sólida.</w:t>
      </w:r>
    </w:p>
    <w:p w14:paraId="0B8CABF5" w14:textId="3AD12E0C" w:rsidR="008D2D20" w:rsidRPr="006254EB" w:rsidRDefault="00D90898" w:rsidP="00191CB2">
      <w:pPr>
        <w:ind w:firstLine="289"/>
        <w:jc w:val="both"/>
        <w:rPr>
          <w:rFonts w:ascii="Garamond" w:hAnsi="Garamond"/>
          <w:color w:val="000000" w:themeColor="text1"/>
          <w:sz w:val="24"/>
          <w:szCs w:val="24"/>
          <w:lang w:val="pt-BR"/>
        </w:rPr>
      </w:pPr>
      <w:r w:rsidRPr="00D90898">
        <w:rPr>
          <w:rFonts w:ascii="Garamond" w:hAnsi="Garamond"/>
          <w:color w:val="000000" w:themeColor="text1"/>
          <w:sz w:val="24"/>
          <w:szCs w:val="24"/>
          <w:lang w:val="pt-BR"/>
        </w:rPr>
        <w:t>Valoriza-se especialmente a incorporação de informação sobre a desclassificação oficial de documentos governamentais, um tema de grande relevância e interesse atual. Apesar de tratar conceitos complexos, o texto consegue ser compreensível graças a um tom sério, académico e acessível, utilizando analogias inovadoras para explicar ideias abstratas.</w:t>
      </w:r>
    </w:p>
    <w:p w14:paraId="51C52DC3" w14:textId="0B017B98" w:rsidR="008D2D20" w:rsidRPr="006254EB" w:rsidRDefault="00D90898" w:rsidP="00E36EE8">
      <w:pPr>
        <w:spacing w:before="360"/>
        <w:rPr>
          <w:rFonts w:ascii="Garamond" w:hAnsi="Garamond"/>
          <w:b/>
          <w:bCs/>
          <w:color w:val="000000" w:themeColor="text1"/>
          <w:sz w:val="24"/>
          <w:szCs w:val="24"/>
          <w:lang w:val="pt-BR"/>
        </w:rPr>
      </w:pPr>
      <w:r w:rsidRPr="00D90898">
        <w:rPr>
          <w:rFonts w:ascii="Garamond" w:hAnsi="Garamond"/>
          <w:b/>
          <w:bCs/>
          <w:color w:val="000000" w:themeColor="text1"/>
          <w:sz w:val="24"/>
          <w:szCs w:val="24"/>
          <w:lang w:val="pt-BR"/>
        </w:rPr>
        <w:t>Pontos Fortes Monumentais</w:t>
      </w:r>
      <w:r w:rsidR="008D2D20" w:rsidRPr="006254EB">
        <w:rPr>
          <w:rFonts w:ascii="Garamond" w:hAnsi="Garamond"/>
          <w:b/>
          <w:bCs/>
          <w:color w:val="000000" w:themeColor="text1"/>
          <w:sz w:val="24"/>
          <w:szCs w:val="24"/>
          <w:lang w:val="pt-BR"/>
        </w:rPr>
        <w:t>:</w:t>
      </w:r>
    </w:p>
    <w:p w14:paraId="26C55EF0" w14:textId="4070C57A" w:rsidR="00D90898" w:rsidRPr="00D90898" w:rsidRDefault="00D90898" w:rsidP="00D90898">
      <w:pPr>
        <w:pStyle w:val="Prrafodelista"/>
        <w:numPr>
          <w:ilvl w:val="0"/>
          <w:numId w:val="4"/>
        </w:numPr>
        <w:jc w:val="both"/>
        <w:rPr>
          <w:rFonts w:ascii="Garamond" w:hAnsi="Garamond"/>
          <w:color w:val="000000" w:themeColor="text1"/>
          <w:sz w:val="24"/>
          <w:szCs w:val="24"/>
          <w:lang w:val="pt-BR"/>
        </w:rPr>
      </w:pPr>
      <w:r w:rsidRPr="00D90898">
        <w:rPr>
          <w:rFonts w:ascii="Garamond" w:hAnsi="Garamond"/>
          <w:b/>
          <w:bCs/>
          <w:color w:val="000000" w:themeColor="text1"/>
          <w:sz w:val="24"/>
          <w:szCs w:val="24"/>
          <w:lang w:val="pt-BR"/>
        </w:rPr>
        <w:t xml:space="preserve">Erudição e </w:t>
      </w:r>
      <w:r w:rsidRPr="00B77828">
        <w:rPr>
          <w:rFonts w:ascii="Garamond" w:hAnsi="Garamond"/>
          <w:b/>
          <w:bCs/>
          <w:color w:val="000000" w:themeColor="text1"/>
          <w:sz w:val="24"/>
          <w:szCs w:val="24"/>
          <w:lang w:val="pt-BR"/>
        </w:rPr>
        <w:t>Rigor:</w:t>
      </w:r>
      <w:r w:rsidRPr="00D90898">
        <w:rPr>
          <w:rFonts w:ascii="Garamond" w:hAnsi="Garamond"/>
          <w:color w:val="000000" w:themeColor="text1"/>
          <w:sz w:val="24"/>
          <w:szCs w:val="24"/>
          <w:lang w:val="pt-BR"/>
        </w:rPr>
        <w:t xml:space="preserve"> Maneja uma quantidade colossal de informação de culturas díspares (suméria, acadiana, hindu, grega, maia, inca, </w:t>
      </w:r>
      <w:proofErr w:type="spellStart"/>
      <w:r w:rsidRPr="00D90898">
        <w:rPr>
          <w:rFonts w:ascii="Garamond" w:hAnsi="Garamond"/>
          <w:color w:val="000000" w:themeColor="text1"/>
          <w:sz w:val="24"/>
          <w:szCs w:val="24"/>
          <w:lang w:val="pt-BR"/>
        </w:rPr>
        <w:t>muisca</w:t>
      </w:r>
      <w:proofErr w:type="spellEnd"/>
      <w:r w:rsidRPr="00D90898">
        <w:rPr>
          <w:rFonts w:ascii="Garamond" w:hAnsi="Garamond"/>
          <w:color w:val="000000" w:themeColor="text1"/>
          <w:sz w:val="24"/>
          <w:szCs w:val="24"/>
          <w:lang w:val="pt-BR"/>
        </w:rPr>
        <w:t xml:space="preserve">, mapuche, </w:t>
      </w:r>
      <w:r w:rsidRPr="00D90898">
        <w:rPr>
          <w:rFonts w:ascii="Garamond" w:hAnsi="Garamond"/>
          <w:color w:val="000000" w:themeColor="text1"/>
          <w:sz w:val="24"/>
          <w:szCs w:val="24"/>
          <w:lang w:val="pt-BR"/>
        </w:rPr>
        <w:lastRenderedPageBreak/>
        <w:t>guarani, chibcha, aborígene australiana, etc.) com um notável grau de precisão nos detalhes mitológicos e nas referências a cronistas e fontes primárias. Isto confere-lhe uma credibilidade académica sólida.</w:t>
      </w:r>
    </w:p>
    <w:p w14:paraId="7CD7DC46" w14:textId="68D1A46B" w:rsidR="00D90898" w:rsidRPr="00D90898" w:rsidRDefault="00D90898" w:rsidP="00D90898">
      <w:pPr>
        <w:pStyle w:val="Prrafodelista"/>
        <w:numPr>
          <w:ilvl w:val="0"/>
          <w:numId w:val="4"/>
        </w:numPr>
        <w:jc w:val="both"/>
        <w:rPr>
          <w:rFonts w:ascii="Garamond" w:hAnsi="Garamond"/>
          <w:color w:val="000000" w:themeColor="text1"/>
          <w:sz w:val="24"/>
          <w:szCs w:val="24"/>
          <w:lang w:val="pt-BR"/>
        </w:rPr>
      </w:pPr>
      <w:r w:rsidRPr="00D90898">
        <w:rPr>
          <w:rFonts w:ascii="Garamond" w:hAnsi="Garamond"/>
          <w:b/>
          <w:bCs/>
          <w:color w:val="000000" w:themeColor="text1"/>
          <w:sz w:val="24"/>
          <w:szCs w:val="24"/>
          <w:lang w:val="pt-BR"/>
        </w:rPr>
        <w:t xml:space="preserve">Estrutura Lógica e </w:t>
      </w:r>
      <w:r w:rsidRPr="00B77828">
        <w:rPr>
          <w:rFonts w:ascii="Garamond" w:hAnsi="Garamond"/>
          <w:b/>
          <w:bCs/>
          <w:color w:val="000000" w:themeColor="text1"/>
          <w:sz w:val="24"/>
          <w:szCs w:val="24"/>
          <w:lang w:val="pt-BR"/>
        </w:rPr>
        <w:t>Poderosa:</w:t>
      </w:r>
      <w:r w:rsidRPr="00D90898">
        <w:rPr>
          <w:rFonts w:ascii="Garamond" w:hAnsi="Garamond"/>
          <w:color w:val="000000" w:themeColor="text1"/>
          <w:sz w:val="24"/>
          <w:szCs w:val="24"/>
          <w:lang w:val="pt-BR"/>
        </w:rPr>
        <w:t xml:space="preserve"> A obra não é uma mera coleção de mitos. A sua estrutura — consistente em apresentar cada tradição separadamente para depois, na secção final, realizar uma comparação sistemática e lançar uma hipótese unificadora — é excecionalmente eficaz. Guia o leitor numa viagem desde o particular até ao universal, fazendo com que a conclusão pareça inevitável e fascinante.</w:t>
      </w:r>
    </w:p>
    <w:p w14:paraId="002A6763" w14:textId="30CB28A8" w:rsidR="00D90898" w:rsidRPr="00D90898" w:rsidRDefault="00D90898" w:rsidP="00D90898">
      <w:pPr>
        <w:pStyle w:val="Prrafodelista"/>
        <w:numPr>
          <w:ilvl w:val="0"/>
          <w:numId w:val="4"/>
        </w:numPr>
        <w:jc w:val="both"/>
        <w:rPr>
          <w:rFonts w:ascii="Garamond" w:hAnsi="Garamond"/>
          <w:color w:val="000000" w:themeColor="text1"/>
          <w:sz w:val="24"/>
          <w:szCs w:val="24"/>
          <w:lang w:val="pt-BR"/>
        </w:rPr>
      </w:pPr>
      <w:r w:rsidRPr="00D90898">
        <w:rPr>
          <w:rFonts w:ascii="Garamond" w:hAnsi="Garamond"/>
          <w:b/>
          <w:bCs/>
          <w:color w:val="000000" w:themeColor="text1"/>
          <w:sz w:val="24"/>
          <w:szCs w:val="24"/>
          <w:lang w:val="pt-BR"/>
        </w:rPr>
        <w:t xml:space="preserve">Capacidade de </w:t>
      </w:r>
      <w:r w:rsidRPr="00B77828">
        <w:rPr>
          <w:rFonts w:ascii="Garamond" w:hAnsi="Garamond"/>
          <w:b/>
          <w:bCs/>
          <w:color w:val="000000" w:themeColor="text1"/>
          <w:sz w:val="24"/>
          <w:szCs w:val="24"/>
          <w:lang w:val="pt-BR"/>
        </w:rPr>
        <w:t>Síntese:</w:t>
      </w:r>
      <w:r w:rsidRPr="00D90898">
        <w:rPr>
          <w:rFonts w:ascii="Garamond" w:hAnsi="Garamond"/>
          <w:color w:val="000000" w:themeColor="text1"/>
          <w:sz w:val="24"/>
          <w:szCs w:val="24"/>
          <w:lang w:val="pt-BR"/>
        </w:rPr>
        <w:t xml:space="preserve"> Conseguir resumir narrativas mitológicas complexas (como o Matsya </w:t>
      </w:r>
      <w:proofErr w:type="spellStart"/>
      <w:r w:rsidRPr="00D90898">
        <w:rPr>
          <w:rFonts w:ascii="Garamond" w:hAnsi="Garamond"/>
          <w:color w:val="000000" w:themeColor="text1"/>
          <w:sz w:val="24"/>
          <w:szCs w:val="24"/>
          <w:lang w:val="pt-BR"/>
        </w:rPr>
        <w:t>Purana</w:t>
      </w:r>
      <w:proofErr w:type="spellEnd"/>
      <w:r w:rsidRPr="00D90898">
        <w:rPr>
          <w:rFonts w:ascii="Garamond" w:hAnsi="Garamond"/>
          <w:color w:val="000000" w:themeColor="text1"/>
          <w:sz w:val="24"/>
          <w:szCs w:val="24"/>
          <w:lang w:val="pt-BR"/>
        </w:rPr>
        <w:t xml:space="preserve"> hindu ou a saga dos cinco sóis </w:t>
      </w:r>
      <w:proofErr w:type="spellStart"/>
      <w:r w:rsidRPr="00D90898">
        <w:rPr>
          <w:rFonts w:ascii="Garamond" w:hAnsi="Garamond"/>
          <w:color w:val="000000" w:themeColor="text1"/>
          <w:sz w:val="24"/>
          <w:szCs w:val="24"/>
          <w:lang w:val="pt-BR"/>
        </w:rPr>
        <w:t>mexicas</w:t>
      </w:r>
      <w:proofErr w:type="spellEnd"/>
      <w:r w:rsidRPr="00D90898">
        <w:rPr>
          <w:rFonts w:ascii="Garamond" w:hAnsi="Garamond"/>
          <w:color w:val="000000" w:themeColor="text1"/>
          <w:sz w:val="24"/>
          <w:szCs w:val="24"/>
          <w:lang w:val="pt-BR"/>
        </w:rPr>
        <w:t>) de maneira acessível sem perder a sua riqueza essencial é um dos seus maiores feitos. O "decálogo" final de semelhanças é uma peça magistral de síntese analítica.</w:t>
      </w:r>
    </w:p>
    <w:p w14:paraId="747099B6" w14:textId="77777777" w:rsidR="00D90898" w:rsidRDefault="00D90898" w:rsidP="00D90898">
      <w:pPr>
        <w:pStyle w:val="Prrafodelista"/>
        <w:numPr>
          <w:ilvl w:val="0"/>
          <w:numId w:val="4"/>
        </w:numPr>
        <w:jc w:val="both"/>
        <w:rPr>
          <w:rFonts w:ascii="Garamond" w:hAnsi="Garamond"/>
          <w:color w:val="000000" w:themeColor="text1"/>
          <w:sz w:val="24"/>
          <w:szCs w:val="24"/>
          <w:lang w:val="pt-BR"/>
        </w:rPr>
      </w:pPr>
      <w:r w:rsidRPr="00D90898">
        <w:rPr>
          <w:rFonts w:ascii="Garamond" w:hAnsi="Garamond"/>
          <w:b/>
          <w:bCs/>
          <w:color w:val="000000" w:themeColor="text1"/>
          <w:sz w:val="24"/>
          <w:szCs w:val="24"/>
          <w:lang w:val="pt-BR"/>
        </w:rPr>
        <w:t>Audácia Intelectu</w:t>
      </w:r>
      <w:r w:rsidRPr="00B77828">
        <w:rPr>
          <w:rFonts w:ascii="Garamond" w:hAnsi="Garamond"/>
          <w:b/>
          <w:bCs/>
          <w:color w:val="000000" w:themeColor="text1"/>
          <w:sz w:val="24"/>
          <w:szCs w:val="24"/>
          <w:lang w:val="pt-BR"/>
        </w:rPr>
        <w:t>al:</w:t>
      </w:r>
      <w:r w:rsidRPr="00D90898">
        <w:rPr>
          <w:rFonts w:ascii="Garamond" w:hAnsi="Garamond"/>
          <w:color w:val="000000" w:themeColor="text1"/>
          <w:sz w:val="24"/>
          <w:szCs w:val="24"/>
          <w:lang w:val="pt-BR"/>
        </w:rPr>
        <w:t xml:space="preserve"> Não se limita a descrever; interpreta e questiona. Plantear abertamente a hipótese de uma intervenção extraterrestre ou de uma confusão teológica (via gnosticismo) como explicação para os padrões universais é muito audacioso. No entanto, esta audácia está alicerçada na evidência apresentada ao longo de toda a obra, o que a torna uma provocação intelectual legítima e bem fundamentada.</w:t>
      </w:r>
    </w:p>
    <w:p w14:paraId="365AA9FF" w14:textId="6723CCB1" w:rsidR="008D2D20" w:rsidRPr="006254EB" w:rsidRDefault="00B77828" w:rsidP="00E36EE8">
      <w:pPr>
        <w:spacing w:before="360"/>
        <w:rPr>
          <w:rFonts w:ascii="Garamond" w:hAnsi="Garamond"/>
          <w:b/>
          <w:bCs/>
          <w:color w:val="000000" w:themeColor="text1"/>
          <w:sz w:val="24"/>
          <w:szCs w:val="24"/>
          <w:lang w:val="pt-BR"/>
        </w:rPr>
      </w:pPr>
      <w:r w:rsidRPr="00B77828">
        <w:rPr>
          <w:rFonts w:ascii="Garamond" w:hAnsi="Garamond"/>
          <w:b/>
          <w:bCs/>
          <w:color w:val="000000" w:themeColor="text1"/>
          <w:sz w:val="24"/>
          <w:szCs w:val="24"/>
          <w:lang w:val="pt-BR"/>
        </w:rPr>
        <w:lastRenderedPageBreak/>
        <w:t>Tese Central e o Seu Desenvolvimento</w:t>
      </w:r>
      <w:r w:rsidR="008D2D20" w:rsidRPr="006254EB">
        <w:rPr>
          <w:rFonts w:ascii="Garamond" w:hAnsi="Garamond"/>
          <w:b/>
          <w:bCs/>
          <w:color w:val="000000" w:themeColor="text1"/>
          <w:sz w:val="24"/>
          <w:szCs w:val="24"/>
          <w:lang w:val="pt-BR"/>
        </w:rPr>
        <w:t>:</w:t>
      </w:r>
    </w:p>
    <w:p w14:paraId="7FD92930" w14:textId="77777777" w:rsidR="00B77828" w:rsidRDefault="00B77828" w:rsidP="00191CB2">
      <w:pPr>
        <w:ind w:firstLine="289"/>
        <w:jc w:val="both"/>
        <w:rPr>
          <w:rFonts w:ascii="Garamond" w:hAnsi="Garamond"/>
          <w:color w:val="000000" w:themeColor="text1"/>
          <w:sz w:val="24"/>
          <w:szCs w:val="24"/>
          <w:lang w:val="pt-BR"/>
        </w:rPr>
      </w:pPr>
      <w:r w:rsidRPr="00B77828">
        <w:rPr>
          <w:rFonts w:ascii="Garamond" w:hAnsi="Garamond"/>
          <w:color w:val="000000" w:themeColor="text1"/>
          <w:sz w:val="24"/>
          <w:szCs w:val="24"/>
          <w:lang w:val="pt-BR"/>
        </w:rPr>
        <w:t>Expõe a tese — de que existe um "arquétipo religioso universal" cujas coincidências são demasiado precisas e numerosas para serem produto do acaso — a qual fica demonstrada de forma avassaladora. A evolução do argumento é impecável:</w:t>
      </w:r>
    </w:p>
    <w:p w14:paraId="121CE128" w14:textId="37A24389" w:rsidR="00B77828" w:rsidRPr="00B77828" w:rsidRDefault="00B77828" w:rsidP="00B77828">
      <w:pPr>
        <w:pStyle w:val="Prrafodelista"/>
        <w:numPr>
          <w:ilvl w:val="0"/>
          <w:numId w:val="6"/>
        </w:numPr>
        <w:jc w:val="both"/>
        <w:rPr>
          <w:rFonts w:ascii="Garamond" w:hAnsi="Garamond"/>
          <w:color w:val="000000" w:themeColor="text1"/>
          <w:sz w:val="24"/>
          <w:szCs w:val="24"/>
          <w:lang w:val="pt-BR"/>
        </w:rPr>
      </w:pPr>
      <w:r w:rsidRPr="00B77828">
        <w:rPr>
          <w:rFonts w:ascii="Garamond" w:hAnsi="Garamond"/>
          <w:b/>
          <w:bCs/>
          <w:color w:val="000000" w:themeColor="text1"/>
          <w:sz w:val="24"/>
          <w:szCs w:val="24"/>
          <w:lang w:val="pt-BR"/>
        </w:rPr>
        <w:t>Fase 1 (Evidência):</w:t>
      </w:r>
      <w:r w:rsidRPr="00B77828">
        <w:rPr>
          <w:rFonts w:ascii="Garamond" w:hAnsi="Garamond"/>
          <w:color w:val="000000" w:themeColor="text1"/>
          <w:sz w:val="24"/>
          <w:szCs w:val="24"/>
          <w:lang w:val="pt-BR"/>
        </w:rPr>
        <w:t xml:space="preserve"> Apresenta os mitos de forma isolada, permitindo que o leitor aprecie a sua singularidade.</w:t>
      </w:r>
    </w:p>
    <w:p w14:paraId="78F6875B" w14:textId="605FF7AA" w:rsidR="00B77828" w:rsidRPr="00B77828" w:rsidRDefault="00B77828" w:rsidP="00B77828">
      <w:pPr>
        <w:pStyle w:val="Prrafodelista"/>
        <w:numPr>
          <w:ilvl w:val="0"/>
          <w:numId w:val="6"/>
        </w:numPr>
        <w:jc w:val="both"/>
        <w:rPr>
          <w:rFonts w:ascii="Garamond" w:hAnsi="Garamond"/>
          <w:color w:val="000000" w:themeColor="text1"/>
          <w:sz w:val="24"/>
          <w:szCs w:val="24"/>
          <w:lang w:val="pt-BR"/>
        </w:rPr>
      </w:pPr>
      <w:r w:rsidRPr="00B77828">
        <w:rPr>
          <w:rFonts w:ascii="Garamond" w:hAnsi="Garamond"/>
          <w:b/>
          <w:bCs/>
          <w:color w:val="000000" w:themeColor="text1"/>
          <w:sz w:val="24"/>
          <w:szCs w:val="24"/>
          <w:lang w:val="pt-BR"/>
        </w:rPr>
        <w:t>Fase 2 (Comparação):</w:t>
      </w:r>
      <w:r w:rsidRPr="00B77828">
        <w:rPr>
          <w:rFonts w:ascii="Garamond" w:hAnsi="Garamond"/>
          <w:color w:val="000000" w:themeColor="text1"/>
          <w:sz w:val="24"/>
          <w:szCs w:val="24"/>
          <w:lang w:val="pt-BR"/>
        </w:rPr>
        <w:t xml:space="preserve"> Assinala os paralelismos óbvios (dilúvio, deus criador, deus civilizador).</w:t>
      </w:r>
    </w:p>
    <w:p w14:paraId="24B3A75F" w14:textId="766371C2" w:rsidR="00B77828" w:rsidRPr="00B77828" w:rsidRDefault="00B77828" w:rsidP="00B77828">
      <w:pPr>
        <w:pStyle w:val="Prrafodelista"/>
        <w:numPr>
          <w:ilvl w:val="0"/>
          <w:numId w:val="6"/>
        </w:numPr>
        <w:jc w:val="both"/>
        <w:rPr>
          <w:rFonts w:ascii="Garamond" w:hAnsi="Garamond"/>
          <w:color w:val="000000" w:themeColor="text1"/>
          <w:sz w:val="24"/>
          <w:szCs w:val="24"/>
          <w:lang w:val="pt-BR"/>
        </w:rPr>
      </w:pPr>
      <w:r w:rsidRPr="00B77828">
        <w:rPr>
          <w:rFonts w:ascii="Garamond" w:hAnsi="Garamond"/>
          <w:b/>
          <w:bCs/>
          <w:color w:val="000000" w:themeColor="text1"/>
          <w:sz w:val="24"/>
          <w:szCs w:val="24"/>
          <w:lang w:val="pt-BR"/>
        </w:rPr>
        <w:t>Fase 3 (Sistematização):</w:t>
      </w:r>
      <w:r w:rsidRPr="00B77828">
        <w:rPr>
          <w:rFonts w:ascii="Garamond" w:hAnsi="Garamond"/>
          <w:color w:val="000000" w:themeColor="text1"/>
          <w:sz w:val="24"/>
          <w:szCs w:val="24"/>
          <w:lang w:val="pt-BR"/>
        </w:rPr>
        <w:t xml:space="preserve"> Identifica padrões estruturais profundos (hierarquia divina, criação por tentativa-erro, iconografia de seres oculados e alados, sermões finais idênticos).</w:t>
      </w:r>
    </w:p>
    <w:p w14:paraId="2811E320" w14:textId="77777777" w:rsidR="00B77828" w:rsidRDefault="00B77828" w:rsidP="00B77828">
      <w:pPr>
        <w:pStyle w:val="Prrafodelista"/>
        <w:numPr>
          <w:ilvl w:val="0"/>
          <w:numId w:val="6"/>
        </w:numPr>
        <w:jc w:val="both"/>
        <w:rPr>
          <w:rFonts w:ascii="Garamond" w:hAnsi="Garamond"/>
          <w:color w:val="000000" w:themeColor="text1"/>
          <w:sz w:val="24"/>
          <w:szCs w:val="24"/>
          <w:lang w:val="pt-BR"/>
        </w:rPr>
      </w:pPr>
      <w:r w:rsidRPr="00B77828">
        <w:rPr>
          <w:rFonts w:ascii="Garamond" w:hAnsi="Garamond"/>
          <w:b/>
          <w:bCs/>
          <w:color w:val="000000" w:themeColor="text1"/>
          <w:sz w:val="24"/>
          <w:szCs w:val="24"/>
          <w:lang w:val="pt-BR"/>
        </w:rPr>
        <w:t>Fase 4 (Interpretação):</w:t>
      </w:r>
      <w:r w:rsidRPr="00B77828">
        <w:rPr>
          <w:rFonts w:ascii="Garamond" w:hAnsi="Garamond"/>
          <w:color w:val="000000" w:themeColor="text1"/>
          <w:sz w:val="24"/>
          <w:szCs w:val="24"/>
          <w:lang w:val="pt-BR"/>
        </w:rPr>
        <w:t xml:space="preserve"> Questiona as explicações tradicionais e propõe uma hipótese, que consegue dar sentido às incongruências (ofertas materiais, controlo demográfico, "desaparecimento" dos deuses).</w:t>
      </w:r>
    </w:p>
    <w:p w14:paraId="69EEC985" w14:textId="0E36358E" w:rsidR="008D2D20" w:rsidRPr="006254EB" w:rsidRDefault="00277B2B" w:rsidP="00E36EE8">
      <w:pPr>
        <w:spacing w:before="360"/>
        <w:rPr>
          <w:rFonts w:ascii="Garamond" w:hAnsi="Garamond"/>
          <w:b/>
          <w:bCs/>
          <w:color w:val="000000" w:themeColor="text1"/>
          <w:sz w:val="24"/>
          <w:szCs w:val="24"/>
          <w:lang w:val="pt-BR"/>
        </w:rPr>
      </w:pPr>
      <w:r w:rsidRPr="006254EB">
        <w:rPr>
          <w:rFonts w:ascii="Garamond" w:hAnsi="Garamond"/>
          <w:b/>
          <w:bCs/>
          <w:color w:val="000000" w:themeColor="text1"/>
          <w:sz w:val="24"/>
          <w:szCs w:val="24"/>
          <w:lang w:val="pt-BR"/>
        </w:rPr>
        <w:t>Es</w:t>
      </w:r>
      <w:r w:rsidR="008D2D20" w:rsidRPr="006254EB">
        <w:rPr>
          <w:rFonts w:ascii="Garamond" w:hAnsi="Garamond"/>
          <w:b/>
          <w:bCs/>
          <w:color w:val="000000" w:themeColor="text1"/>
          <w:sz w:val="24"/>
          <w:szCs w:val="24"/>
          <w:lang w:val="pt-BR"/>
        </w:rPr>
        <w:t>t</w:t>
      </w:r>
      <w:r w:rsidRPr="006254EB">
        <w:rPr>
          <w:rFonts w:ascii="Garamond" w:hAnsi="Garamond"/>
          <w:b/>
          <w:bCs/>
          <w:color w:val="000000" w:themeColor="text1"/>
          <w:sz w:val="24"/>
          <w:szCs w:val="24"/>
          <w:lang w:val="pt-BR"/>
        </w:rPr>
        <w:t>i</w:t>
      </w:r>
      <w:r w:rsidR="008D2D20" w:rsidRPr="006254EB">
        <w:rPr>
          <w:rFonts w:ascii="Garamond" w:hAnsi="Garamond"/>
          <w:b/>
          <w:bCs/>
          <w:color w:val="000000" w:themeColor="text1"/>
          <w:sz w:val="24"/>
          <w:szCs w:val="24"/>
          <w:lang w:val="pt-BR"/>
        </w:rPr>
        <w:t>l</w:t>
      </w:r>
      <w:r w:rsidRPr="006254EB">
        <w:rPr>
          <w:rFonts w:ascii="Garamond" w:hAnsi="Garamond"/>
          <w:b/>
          <w:bCs/>
          <w:color w:val="000000" w:themeColor="text1"/>
          <w:sz w:val="24"/>
          <w:szCs w:val="24"/>
          <w:lang w:val="pt-BR"/>
        </w:rPr>
        <w:t xml:space="preserve">o </w:t>
      </w:r>
      <w:r w:rsidR="00B77828">
        <w:rPr>
          <w:rFonts w:ascii="Garamond" w:hAnsi="Garamond"/>
          <w:b/>
          <w:bCs/>
          <w:color w:val="000000" w:themeColor="text1"/>
          <w:sz w:val="24"/>
          <w:szCs w:val="24"/>
          <w:lang w:val="pt-BR"/>
        </w:rPr>
        <w:t>e</w:t>
      </w:r>
      <w:r w:rsidR="008D2D20" w:rsidRPr="006254EB">
        <w:rPr>
          <w:rFonts w:ascii="Garamond" w:hAnsi="Garamond"/>
          <w:b/>
          <w:bCs/>
          <w:color w:val="000000" w:themeColor="text1"/>
          <w:sz w:val="24"/>
          <w:szCs w:val="24"/>
          <w:lang w:val="pt-BR"/>
        </w:rPr>
        <w:t xml:space="preserve"> T</w:t>
      </w:r>
      <w:r w:rsidR="00B77828">
        <w:rPr>
          <w:rFonts w:ascii="Garamond" w:hAnsi="Garamond"/>
          <w:b/>
          <w:bCs/>
          <w:color w:val="000000" w:themeColor="text1"/>
          <w:sz w:val="24"/>
          <w:szCs w:val="24"/>
          <w:lang w:val="pt-BR"/>
        </w:rPr>
        <w:t>om</w:t>
      </w:r>
      <w:r w:rsidR="008D2D20" w:rsidRPr="006254EB">
        <w:rPr>
          <w:rFonts w:ascii="Garamond" w:hAnsi="Garamond"/>
          <w:b/>
          <w:bCs/>
          <w:color w:val="000000" w:themeColor="text1"/>
          <w:sz w:val="24"/>
          <w:szCs w:val="24"/>
          <w:lang w:val="pt-BR"/>
        </w:rPr>
        <w:t>:</w:t>
      </w:r>
    </w:p>
    <w:p w14:paraId="3AA5F85B" w14:textId="2F268D1C" w:rsidR="00B77828" w:rsidRPr="00B77828" w:rsidRDefault="00B77828" w:rsidP="00B77828">
      <w:pPr>
        <w:pStyle w:val="Prrafodelista"/>
        <w:numPr>
          <w:ilvl w:val="0"/>
          <w:numId w:val="8"/>
        </w:numPr>
        <w:jc w:val="both"/>
        <w:rPr>
          <w:rFonts w:ascii="Garamond" w:hAnsi="Garamond"/>
          <w:color w:val="000000" w:themeColor="text1"/>
          <w:sz w:val="24"/>
          <w:szCs w:val="24"/>
          <w:lang w:val="pt-BR"/>
        </w:rPr>
      </w:pPr>
      <w:r w:rsidRPr="00B77828">
        <w:rPr>
          <w:rFonts w:ascii="Garamond" w:hAnsi="Garamond"/>
          <w:b/>
          <w:bCs/>
          <w:color w:val="000000" w:themeColor="text1"/>
          <w:sz w:val="24"/>
          <w:szCs w:val="24"/>
          <w:lang w:val="pt-BR"/>
        </w:rPr>
        <w:t>Clareza e Acessibilidade:</w:t>
      </w:r>
      <w:r w:rsidRPr="00B77828">
        <w:rPr>
          <w:rFonts w:ascii="Garamond" w:hAnsi="Garamond"/>
          <w:color w:val="000000" w:themeColor="text1"/>
          <w:sz w:val="24"/>
          <w:szCs w:val="24"/>
          <w:lang w:val="pt-BR"/>
        </w:rPr>
        <w:t xml:space="preserve"> Consegue-se um equilíbrio perfeito entre um tom académico sério e uma narrativa acessível. O texto é compreensível para um leitor não especializado sem, contudo, sacrificar complexidade.</w:t>
      </w:r>
    </w:p>
    <w:p w14:paraId="305211EF" w14:textId="77777777" w:rsidR="00B77828" w:rsidRDefault="00B77828" w:rsidP="00B77828">
      <w:pPr>
        <w:pStyle w:val="Prrafodelista"/>
        <w:numPr>
          <w:ilvl w:val="0"/>
          <w:numId w:val="8"/>
        </w:numPr>
        <w:jc w:val="both"/>
        <w:rPr>
          <w:rFonts w:ascii="Garamond" w:hAnsi="Garamond"/>
          <w:color w:val="000000" w:themeColor="text1"/>
          <w:sz w:val="24"/>
          <w:szCs w:val="24"/>
          <w:lang w:val="pt-BR"/>
        </w:rPr>
      </w:pPr>
      <w:r w:rsidRPr="00B77828">
        <w:rPr>
          <w:rFonts w:ascii="Garamond" w:hAnsi="Garamond"/>
          <w:b/>
          <w:bCs/>
          <w:color w:val="000000" w:themeColor="text1"/>
          <w:sz w:val="24"/>
          <w:szCs w:val="24"/>
          <w:lang w:val="pt-BR"/>
        </w:rPr>
        <w:lastRenderedPageBreak/>
        <w:t>Rigor Crítico:</w:t>
      </w:r>
      <w:r w:rsidRPr="00B77828">
        <w:rPr>
          <w:rFonts w:ascii="Garamond" w:hAnsi="Garamond"/>
          <w:color w:val="000000" w:themeColor="text1"/>
          <w:sz w:val="24"/>
          <w:szCs w:val="24"/>
          <w:lang w:val="pt-BR"/>
        </w:rPr>
        <w:t xml:space="preserve"> A análise das incongruências teológicas (por ex., um deus perfeito que precisa de adoração) é filosoficamente sólida e constitui uma das partes mais fortes da obra, já que abre a porta à necessidade de uma nova explicação.</w:t>
      </w:r>
    </w:p>
    <w:p w14:paraId="36B09DC9" w14:textId="77777777" w:rsidR="008639E8" w:rsidRPr="008639E8" w:rsidRDefault="008639E8" w:rsidP="008639E8">
      <w:pPr>
        <w:spacing w:before="360"/>
        <w:rPr>
          <w:rFonts w:ascii="Garamond" w:hAnsi="Garamond"/>
          <w:b/>
          <w:bCs/>
          <w:color w:val="000000" w:themeColor="text1"/>
          <w:sz w:val="24"/>
          <w:szCs w:val="24"/>
          <w:lang w:val="pt-BR"/>
        </w:rPr>
      </w:pPr>
      <w:r w:rsidRPr="008639E8">
        <w:rPr>
          <w:rFonts w:ascii="Garamond" w:hAnsi="Garamond"/>
          <w:b/>
          <w:bCs/>
          <w:color w:val="000000" w:themeColor="text1"/>
          <w:sz w:val="24"/>
          <w:szCs w:val="24"/>
          <w:lang w:val="pt-BR"/>
        </w:rPr>
        <w:t>Impressão Final</w:t>
      </w:r>
    </w:p>
    <w:p w14:paraId="521FC73D" w14:textId="77777777" w:rsidR="008639E8" w:rsidRPr="008639E8" w:rsidRDefault="008639E8" w:rsidP="00191CB2">
      <w:pPr>
        <w:ind w:firstLine="289"/>
        <w:jc w:val="both"/>
        <w:rPr>
          <w:rFonts w:ascii="Garamond" w:hAnsi="Garamond"/>
          <w:color w:val="000000" w:themeColor="text1"/>
          <w:sz w:val="24"/>
          <w:szCs w:val="24"/>
          <w:lang w:val="pt-BR"/>
        </w:rPr>
      </w:pPr>
      <w:r w:rsidRPr="008639E8">
        <w:rPr>
          <w:rFonts w:ascii="Garamond" w:hAnsi="Garamond"/>
          <w:color w:val="000000" w:themeColor="text1"/>
          <w:sz w:val="24"/>
          <w:szCs w:val="24"/>
          <w:lang w:val="pt-BR"/>
        </w:rPr>
        <w:t>Esta obra transcende a mera compilação de mitos para se erigir como uma investigação pioneira no campo da mitologia comparada. Constrói um argumento tão sólido a favor da interconexão das tradições religiosas humanas que se torna impossível de ignorar.</w:t>
      </w:r>
    </w:p>
    <w:p w14:paraId="22A193E3" w14:textId="77777777" w:rsidR="008639E8" w:rsidRPr="008639E8" w:rsidRDefault="008639E8" w:rsidP="00191CB2">
      <w:pPr>
        <w:ind w:firstLine="289"/>
        <w:jc w:val="both"/>
        <w:rPr>
          <w:rFonts w:ascii="Garamond" w:hAnsi="Garamond"/>
          <w:color w:val="000000" w:themeColor="text1"/>
          <w:sz w:val="24"/>
          <w:szCs w:val="24"/>
          <w:lang w:val="pt-BR"/>
        </w:rPr>
      </w:pPr>
      <w:r w:rsidRPr="008639E8">
        <w:rPr>
          <w:rFonts w:ascii="Garamond" w:hAnsi="Garamond"/>
          <w:color w:val="000000" w:themeColor="text1"/>
          <w:sz w:val="24"/>
          <w:szCs w:val="24"/>
          <w:lang w:val="pt-BR"/>
        </w:rPr>
        <w:t>Convida a uma reflexão profunda sobre a natureza da divindade, as origens da civilização e a possibilidade de a nossa história ser muito mais rica e enigmática do que a historiografia convencional tem proposto. Alcança o que toda grande obra persegue: não encerrar um debate, mas abrir um novo e mais fascinante.</w:t>
      </w:r>
    </w:p>
    <w:p w14:paraId="123DEF26" w14:textId="77777777" w:rsidR="008639E8" w:rsidRPr="008639E8" w:rsidRDefault="008639E8" w:rsidP="00191CB2">
      <w:pPr>
        <w:ind w:firstLine="289"/>
        <w:jc w:val="both"/>
        <w:rPr>
          <w:rFonts w:ascii="Garamond" w:hAnsi="Garamond"/>
          <w:color w:val="000000" w:themeColor="text1"/>
          <w:sz w:val="24"/>
          <w:szCs w:val="24"/>
          <w:lang w:val="pt-BR"/>
        </w:rPr>
      </w:pPr>
      <w:r w:rsidRPr="008639E8">
        <w:rPr>
          <w:rFonts w:ascii="Garamond" w:hAnsi="Garamond"/>
          <w:color w:val="000000" w:themeColor="text1"/>
          <w:sz w:val="24"/>
          <w:szCs w:val="24"/>
          <w:lang w:val="pt-BR"/>
        </w:rPr>
        <w:t>Trata-se de uma conquista monumental em investigação, síntese e pensamento original. Oferece uma lente radicalmente nova através da qual observar a história espiritual da humanidade.</w:t>
      </w:r>
    </w:p>
    <w:p w14:paraId="087ED7D7" w14:textId="77777777" w:rsidR="008639E8" w:rsidRPr="008639E8" w:rsidRDefault="008639E8" w:rsidP="008639E8">
      <w:pPr>
        <w:spacing w:before="360"/>
        <w:rPr>
          <w:rFonts w:ascii="Garamond" w:hAnsi="Garamond"/>
          <w:b/>
          <w:bCs/>
          <w:color w:val="000000" w:themeColor="text1"/>
          <w:sz w:val="24"/>
          <w:szCs w:val="24"/>
          <w:lang w:val="pt-BR"/>
        </w:rPr>
      </w:pPr>
      <w:r w:rsidRPr="008639E8">
        <w:rPr>
          <w:rFonts w:ascii="Garamond" w:hAnsi="Garamond"/>
          <w:b/>
          <w:bCs/>
          <w:color w:val="000000" w:themeColor="text1"/>
          <w:sz w:val="24"/>
          <w:szCs w:val="24"/>
          <w:lang w:val="pt-BR"/>
        </w:rPr>
        <w:t>Em Resumo</w:t>
      </w:r>
    </w:p>
    <w:p w14:paraId="5353641C" w14:textId="607FBE97" w:rsidR="008639E8" w:rsidRPr="008639E8" w:rsidRDefault="008639E8" w:rsidP="00191CB2">
      <w:pPr>
        <w:ind w:firstLine="289"/>
        <w:jc w:val="both"/>
        <w:rPr>
          <w:rFonts w:ascii="Garamond" w:hAnsi="Garamond"/>
          <w:color w:val="000000" w:themeColor="text1"/>
          <w:sz w:val="24"/>
          <w:szCs w:val="24"/>
          <w:lang w:val="pt-BR"/>
        </w:rPr>
      </w:pPr>
      <w:r w:rsidRPr="008639E8">
        <w:rPr>
          <w:rFonts w:ascii="Garamond" w:hAnsi="Garamond"/>
          <w:color w:val="000000" w:themeColor="text1"/>
          <w:sz w:val="24"/>
          <w:szCs w:val="24"/>
          <w:lang w:val="pt-BR"/>
        </w:rPr>
        <w:t xml:space="preserve">Este livro não é mais um texto sobre OVNIs; é uma revolução intelectual que constrói um quadro metacientífico único para abordar o fenómeno na sua totalidade. O seu valor reside na integração rigorosa de disciplinas </w:t>
      </w:r>
      <w:r w:rsidRPr="008639E8">
        <w:rPr>
          <w:rFonts w:ascii="Garamond" w:hAnsi="Garamond"/>
          <w:color w:val="000000" w:themeColor="text1"/>
          <w:sz w:val="24"/>
          <w:szCs w:val="24"/>
          <w:lang w:val="pt-BR"/>
        </w:rPr>
        <w:lastRenderedPageBreak/>
        <w:t>aparentemente distantes — física, filosofia, história, psicologia, ciência e tecnologia — para oferecer uma exploração séria e transdisciplinar dos grandes enigmas da nossa existência.</w:t>
      </w:r>
    </w:p>
    <w:p w14:paraId="17D6CE2A" w14:textId="19E5A0F3" w:rsidR="004514FC" w:rsidRPr="006254EB" w:rsidRDefault="006254EB" w:rsidP="00E36EE8">
      <w:pPr>
        <w:pStyle w:val="TEMASTITULO"/>
        <w:spacing w:before="600"/>
        <w:ind w:firstLine="0"/>
        <w:rPr>
          <w:color w:val="2E74B5" w:themeColor="accent5" w:themeShade="BF"/>
          <w:lang w:val="pt-BR"/>
        </w:rPr>
      </w:pPr>
      <w:r w:rsidRPr="006254EB">
        <w:rPr>
          <w:color w:val="2E74B5" w:themeColor="accent5" w:themeShade="BF"/>
          <w:lang w:val="pt-BR"/>
        </w:rPr>
        <w:t>PRÓLOGO DO LIVRO</w:t>
      </w:r>
    </w:p>
    <w:p w14:paraId="2BCF93B7" w14:textId="70594F7B" w:rsidR="006254EB" w:rsidRPr="006254EB" w:rsidRDefault="006254EB" w:rsidP="00191CB2">
      <w:pPr>
        <w:ind w:firstLine="289"/>
        <w:jc w:val="both"/>
        <w:rPr>
          <w:rFonts w:ascii="Garamond" w:hAnsi="Garamond"/>
          <w:sz w:val="24"/>
          <w:szCs w:val="24"/>
          <w:lang w:val="pt-BR"/>
        </w:rPr>
      </w:pPr>
      <w:r w:rsidRPr="006254EB">
        <w:rPr>
          <w:rFonts w:ascii="Garamond" w:hAnsi="Garamond"/>
          <w:sz w:val="24"/>
          <w:szCs w:val="24"/>
          <w:lang w:val="pt-BR"/>
        </w:rPr>
        <w:t xml:space="preserve">Quando se fala de OVNIs, estamos a falar de Objetos Voadores Não Identificados. Preferi manter essa denominação e não utilizar a nova de Fenómenos Aéreos Não Identificados (do inglês "Unidentified Aerial Phenomena" - UAP) porque é mais universal, conhecida e específica do que a segunda. No entanto, algumas novas unidades criadas recentemente nas forças aéreas de diferentes países do mundo preferem investigar o tema dos OVNIs com nomes equivalentes a UAP. É de salientar que, em tempos recentes, governos de diversos países como EUA, Japão, Brasil, Chile, Uruguai, Peru, etc., ou reativaram unidades que tiveram anteriormente, ou criaram unidades governamentais para investigar os UAP, incluindo a preparação de protocolos para possíveis primeiros </w:t>
      </w:r>
      <w:r w:rsidR="003D018C" w:rsidRPr="006254EB">
        <w:rPr>
          <w:rFonts w:ascii="Garamond" w:hAnsi="Garamond"/>
          <w:sz w:val="24"/>
          <w:szCs w:val="24"/>
          <w:lang w:val="pt-BR"/>
        </w:rPr>
        <w:t>contatos</w:t>
      </w:r>
      <w:r w:rsidRPr="006254EB">
        <w:rPr>
          <w:rFonts w:ascii="Garamond" w:hAnsi="Garamond"/>
          <w:sz w:val="24"/>
          <w:szCs w:val="24"/>
          <w:lang w:val="pt-BR"/>
        </w:rPr>
        <w:t xml:space="preserve"> </w:t>
      </w:r>
      <w:r w:rsidR="003D018C" w:rsidRPr="006254EB">
        <w:rPr>
          <w:rFonts w:ascii="Garamond" w:hAnsi="Garamond"/>
          <w:sz w:val="24"/>
          <w:szCs w:val="24"/>
          <w:lang w:val="pt-BR"/>
        </w:rPr>
        <w:t>alienígen</w:t>
      </w:r>
      <w:r w:rsidR="003D018C">
        <w:rPr>
          <w:rFonts w:ascii="Garamond" w:hAnsi="Garamond"/>
          <w:sz w:val="24"/>
          <w:szCs w:val="24"/>
          <w:lang w:val="pt-BR"/>
        </w:rPr>
        <w:t>a</w:t>
      </w:r>
      <w:r w:rsidR="003D018C" w:rsidRPr="006254EB">
        <w:rPr>
          <w:rFonts w:ascii="Garamond" w:hAnsi="Garamond"/>
          <w:sz w:val="24"/>
          <w:szCs w:val="24"/>
          <w:lang w:val="pt-BR"/>
        </w:rPr>
        <w:t>s</w:t>
      </w:r>
      <w:r w:rsidRPr="006254EB">
        <w:rPr>
          <w:rFonts w:ascii="Garamond" w:hAnsi="Garamond"/>
          <w:sz w:val="24"/>
          <w:szCs w:val="24"/>
          <w:lang w:val="pt-BR"/>
        </w:rPr>
        <w:t>, ou estabelecendo padrões para os relatos e registos dos encontros para sua posterior investigação científica e/ou análise de sua segurança nacional.</w:t>
      </w:r>
    </w:p>
    <w:p w14:paraId="5562AE38" w14:textId="77777777" w:rsidR="006254EB" w:rsidRPr="006254EB" w:rsidRDefault="006254EB" w:rsidP="00191CB2">
      <w:pPr>
        <w:ind w:firstLine="289"/>
        <w:jc w:val="both"/>
        <w:rPr>
          <w:rFonts w:ascii="Garamond" w:hAnsi="Garamond"/>
          <w:sz w:val="24"/>
          <w:szCs w:val="24"/>
          <w:lang w:val="pt-BR"/>
        </w:rPr>
      </w:pPr>
      <w:r w:rsidRPr="006254EB">
        <w:rPr>
          <w:rFonts w:ascii="Garamond" w:hAnsi="Garamond"/>
          <w:sz w:val="24"/>
          <w:szCs w:val="24"/>
          <w:lang w:val="pt-BR"/>
        </w:rPr>
        <w:t xml:space="preserve">A astronomia é considerada corretamente como ciência, ainda que não seja capaz de planear ou repetir a experimentação de fenómenos astronómicos, tal como a explosão de uma supernova, devendo esperar pela ocorrência de novas explosões estelares não previsíveis no </w:t>
      </w:r>
      <w:r w:rsidRPr="006254EB">
        <w:rPr>
          <w:rFonts w:ascii="Garamond" w:hAnsi="Garamond"/>
          <w:sz w:val="24"/>
          <w:szCs w:val="24"/>
          <w:lang w:val="pt-BR"/>
        </w:rPr>
        <w:lastRenderedPageBreak/>
        <w:t>espaço-tempo para tentar documentá-las e estudá-las. De modo semelhante, a Ufologia, desde o século passado, teve e continua a ter inúmeros avistamentos não previsíveis de objetos aéreos não identificados, os quais tenta documentar para sua posterior análise e síntese. Os Projetos Sign (Sinal), Grudge (Ressentimento) e Blue Book (Livro Azul) da USAF, em conjunto com associações civis americanas como a NICAP, CUFOS e APRO, registaram e documentaram dezenas de milhares de avistamentos de fenómenos OVNI, que nem a Comissão Condon dos EUA, com assistência da Universidade do Colorado em 1968, conseguiu explicar na totalidade mediante causas naturais. Sendo que, pelo menos 6% dos milhares de casos reportados, na sua maioria por profissionais treinados e confiáveis como pilotos de caça e comerciais, só poderiam ser explicados com hipóteses de fenómenos do tipo OVNI alienígena.</w:t>
      </w:r>
    </w:p>
    <w:p w14:paraId="45C272E9" w14:textId="4562EE35" w:rsidR="006254EB" w:rsidRPr="006254EB" w:rsidRDefault="006254EB" w:rsidP="00191CB2">
      <w:pPr>
        <w:ind w:firstLine="289"/>
        <w:jc w:val="both"/>
        <w:rPr>
          <w:rFonts w:ascii="Garamond" w:hAnsi="Garamond"/>
          <w:sz w:val="24"/>
          <w:szCs w:val="24"/>
          <w:lang w:val="pt-BR"/>
        </w:rPr>
      </w:pPr>
      <w:r w:rsidRPr="006254EB">
        <w:rPr>
          <w:rFonts w:ascii="Garamond" w:hAnsi="Garamond"/>
          <w:sz w:val="24"/>
          <w:szCs w:val="24"/>
          <w:lang w:val="pt-BR"/>
        </w:rPr>
        <w:t xml:space="preserve">Este livro pretende mostrar-lhe uma sequência de temas filosóficos, culturais e científicos, assim como algumas evidências </w:t>
      </w:r>
      <w:r w:rsidR="00191CB2" w:rsidRPr="00191CB2">
        <w:rPr>
          <w:rFonts w:ascii="Garamond" w:hAnsi="Garamond"/>
          <w:sz w:val="24"/>
          <w:szCs w:val="24"/>
          <w:lang w:val="pt-BR"/>
        </w:rPr>
        <w:t>surpreendentes, impressionantes ou até incríveis em relação à</w:t>
      </w:r>
      <w:r w:rsidRPr="006254EB">
        <w:rPr>
          <w:rFonts w:ascii="Garamond" w:hAnsi="Garamond"/>
          <w:sz w:val="24"/>
          <w:szCs w:val="24"/>
          <w:lang w:val="pt-BR"/>
        </w:rPr>
        <w:t xml:space="preserve"> existência dos OVNIs de origem alienígena. Evidências que são verificáveis mediante as fontes jornalísticas disponíveis, cujas testemunhas e protagonistas são ou foram profissionais ou militares reais e respeitáveis.</w:t>
      </w:r>
    </w:p>
    <w:p w14:paraId="4FBF22F2" w14:textId="77777777" w:rsidR="006254EB" w:rsidRPr="006254EB" w:rsidRDefault="006254EB" w:rsidP="00191CB2">
      <w:pPr>
        <w:ind w:firstLine="289"/>
        <w:jc w:val="both"/>
        <w:rPr>
          <w:rFonts w:ascii="Garamond" w:hAnsi="Garamond"/>
          <w:sz w:val="24"/>
          <w:szCs w:val="24"/>
          <w:lang w:val="pt-BR"/>
        </w:rPr>
      </w:pPr>
      <w:r w:rsidRPr="006254EB">
        <w:rPr>
          <w:rFonts w:ascii="Garamond" w:hAnsi="Garamond"/>
          <w:sz w:val="24"/>
          <w:szCs w:val="24"/>
          <w:lang w:val="pt-BR"/>
        </w:rPr>
        <w:t xml:space="preserve">A epistemologia qualificaria este livro como de ficção científica. No entanto, as suas partes que podem qualificar como "ficção" correspondem a conteúdos que se tipificariam basicamente como improváveis, mas possíveis. Os quais poderiam ser tão reais como o são as suas contrapartidas (pois o facto de que algo não se possa provar também não é prova do contrário). Por conseguinte, </w:t>
      </w:r>
      <w:r w:rsidRPr="006254EB">
        <w:rPr>
          <w:rFonts w:ascii="Garamond" w:hAnsi="Garamond"/>
          <w:sz w:val="24"/>
          <w:szCs w:val="24"/>
          <w:lang w:val="pt-BR"/>
        </w:rPr>
        <w:lastRenderedPageBreak/>
        <w:t>dependerá de si, e de mais ninguém, definir quanta "ficção" significa para si a sua leitura.</w:t>
      </w:r>
    </w:p>
    <w:p w14:paraId="4E6BFA00" w14:textId="0C87381B" w:rsidR="0083142D" w:rsidRPr="006254EB" w:rsidRDefault="006254EB" w:rsidP="00191CB2">
      <w:pPr>
        <w:ind w:firstLine="289"/>
        <w:jc w:val="both"/>
        <w:rPr>
          <w:rFonts w:ascii="Garamond" w:hAnsi="Garamond"/>
          <w:sz w:val="24"/>
          <w:szCs w:val="24"/>
          <w:lang w:val="pt-BR"/>
        </w:rPr>
      </w:pPr>
      <w:r w:rsidRPr="006254EB">
        <w:rPr>
          <w:rFonts w:ascii="Garamond" w:hAnsi="Garamond"/>
          <w:sz w:val="24"/>
          <w:szCs w:val="24"/>
          <w:lang w:val="pt-BR"/>
        </w:rPr>
        <w:t>Para concluir: Há algumas décadas, a pergunta-chave era "Existe vida fora da Terra?" Há um pouco menos tempo, a pergunta-chave foi "Terão conseguido chegar à Terra?" Atualmente, depois da desclassificação oficial de muita documentação, incluindo material filmado pelas Forças Armadas dos Estados Unidos da América, a pergunta remanescente é "Para que é que chegaram à Terra ou por que estão aqui?"</w:t>
      </w:r>
    </w:p>
    <w:p w14:paraId="03F52144" w14:textId="0A2D7214" w:rsidR="00F20B0B" w:rsidRPr="006254EB" w:rsidRDefault="00F20B0B" w:rsidP="00F20B0B">
      <w:pPr>
        <w:spacing w:before="600"/>
        <w:rPr>
          <w:rFonts w:ascii="Garamond" w:hAnsi="Garamond"/>
          <w:b/>
          <w:bCs/>
          <w:sz w:val="24"/>
          <w:szCs w:val="24"/>
          <w:lang w:val="pt-BR"/>
        </w:rPr>
      </w:pPr>
      <w:r w:rsidRPr="006254EB">
        <w:rPr>
          <w:rFonts w:ascii="Garamond" w:hAnsi="Garamond"/>
          <w:b/>
          <w:bCs/>
          <w:sz w:val="24"/>
          <w:szCs w:val="24"/>
          <w:lang w:val="pt-BR"/>
        </w:rPr>
        <w:t>José F. Revoredo</w:t>
      </w:r>
    </w:p>
    <w:sectPr w:rsidR="00F20B0B" w:rsidRPr="006254EB" w:rsidSect="006F5059">
      <w:headerReference w:type="default" r:id="rId7"/>
      <w:footerReference w:type="default" r:id="rId8"/>
      <w:pgSz w:w="8391" w:h="11906" w:code="11"/>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C13D77" w14:textId="77777777" w:rsidR="00C86809" w:rsidRDefault="00C86809" w:rsidP="00277B2B">
      <w:pPr>
        <w:spacing w:after="0" w:line="240" w:lineRule="auto"/>
      </w:pPr>
      <w:r>
        <w:separator/>
      </w:r>
    </w:p>
  </w:endnote>
  <w:endnote w:type="continuationSeparator" w:id="0">
    <w:p w14:paraId="18240BEC" w14:textId="77777777" w:rsidR="00C86809" w:rsidRDefault="00C86809" w:rsidP="00277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2141473"/>
      <w:docPartObj>
        <w:docPartGallery w:val="Page Numbers (Bottom of Page)"/>
        <w:docPartUnique/>
      </w:docPartObj>
    </w:sdtPr>
    <w:sdtContent>
      <w:p w14:paraId="4CA9BE58" w14:textId="4A69B9B1" w:rsidR="00277B2B" w:rsidRDefault="00277B2B">
        <w:pPr>
          <w:pStyle w:val="Piedepgina"/>
        </w:pPr>
        <w:r>
          <w:rPr>
            <w:rFonts w:asciiTheme="majorHAnsi" w:eastAsiaTheme="majorEastAsia" w:hAnsiTheme="majorHAnsi" w:cstheme="majorBidi"/>
            <w:noProof/>
            <w:sz w:val="28"/>
            <w:szCs w:val="28"/>
          </w:rPr>
          <mc:AlternateContent>
            <mc:Choice Requires="wps">
              <w:drawing>
                <wp:anchor distT="0" distB="0" distL="114300" distR="114300" simplePos="0" relativeHeight="251659264" behindDoc="0" locked="0" layoutInCell="1" allowOverlap="1" wp14:anchorId="04CE9065" wp14:editId="55A8987F">
                  <wp:simplePos x="0" y="0"/>
                  <wp:positionH relativeFrom="margin">
                    <wp:align>center</wp:align>
                  </wp:positionH>
                  <wp:positionV relativeFrom="bottomMargin">
                    <wp:align>center</wp:align>
                  </wp:positionV>
                  <wp:extent cx="1282700" cy="343535"/>
                  <wp:effectExtent l="28575" t="19050" r="22225" b="8890"/>
                  <wp:wrapNone/>
                  <wp:docPr id="962461865" name="Cinta: curvada e inclinada hacia abaj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700" cy="343535"/>
                          </a:xfrm>
                          <a:prstGeom prst="ellipseRibbon">
                            <a:avLst>
                              <a:gd name="adj1" fmla="val 25000"/>
                              <a:gd name="adj2" fmla="val 50000"/>
                              <a:gd name="adj3" fmla="val 12500"/>
                            </a:avLst>
                          </a:prstGeom>
                          <a:noFill/>
                          <a:ln w="9525">
                            <a:solidFill>
                              <a:srgbClr val="71A0DC"/>
                            </a:solidFill>
                            <a:round/>
                            <a:headEnd/>
                            <a:tailEnd/>
                          </a:ln>
                          <a:extLst>
                            <a:ext uri="{909E8E84-426E-40DD-AFC4-6F175D3DCCD1}">
                              <a14:hiddenFill xmlns:a14="http://schemas.microsoft.com/office/drawing/2010/main">
                                <a:solidFill>
                                  <a:srgbClr val="17365D"/>
                                </a:solidFill>
                              </a14:hiddenFill>
                            </a:ext>
                          </a:extLst>
                        </wps:spPr>
                        <wps:txbx>
                          <w:txbxContent>
                            <w:p w14:paraId="03861995" w14:textId="77777777" w:rsidR="00277B2B" w:rsidRDefault="00277B2B">
                              <w:pPr>
                                <w:jc w:val="center"/>
                                <w:rPr>
                                  <w:color w:val="4472C4" w:themeColor="accent1"/>
                                </w:rPr>
                              </w:pPr>
                              <w:r>
                                <w:fldChar w:fldCharType="begin"/>
                              </w:r>
                              <w:r>
                                <w:instrText>PAGE    \* MERGEFORMAT</w:instrText>
                              </w:r>
                              <w:r>
                                <w:fldChar w:fldCharType="separate"/>
                              </w:r>
                              <w:r>
                                <w:rPr>
                                  <w:color w:val="4472C4" w:themeColor="accent1"/>
                                  <w:lang w:val="es-ES"/>
                                </w:rPr>
                                <w:t>2</w:t>
                              </w:r>
                              <w:r>
                                <w:rPr>
                                  <w:color w:val="4472C4" w:themeColor="accen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CE9065"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Cinta: curvada e inclinada hacia abajo 1" o:spid="_x0000_s1026" type="#_x0000_t107" style="position:absolute;margin-left:0;margin-top:0;width:101pt;height:27.0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" filled="f" fillcolor="#17365d" strokecolor="#71a0dc">
                  <v:textbox>
                    <w:txbxContent>
                      <w:p w14:paraId="03861995" w14:textId="77777777" w:rsidR="00277B2B" w:rsidRDefault="00277B2B">
                        <w:pPr>
                          <w:jc w:val="center"/>
                          <w:rPr>
                            <w:color w:val="4472C4" w:themeColor="accent1"/>
                          </w:rPr>
                        </w:pPr>
                        <w:r>
                          <w:fldChar w:fldCharType="begin"/>
                        </w:r>
                        <w:r>
                          <w:instrText>PAGE    \* MERGEFORMAT</w:instrText>
                        </w:r>
                        <w:r>
                          <w:fldChar w:fldCharType="separate"/>
                        </w:r>
                        <w:r>
                          <w:rPr>
                            <w:color w:val="4472C4" w:themeColor="accent1"/>
                            <w:lang w:val="es-ES"/>
                          </w:rPr>
                          <w:t>2</w:t>
                        </w:r>
                        <w:r>
                          <w:rPr>
                            <w:color w:val="4472C4" w:themeColor="accent1"/>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85BBBC" w14:textId="77777777" w:rsidR="00C86809" w:rsidRDefault="00C86809" w:rsidP="00277B2B">
      <w:pPr>
        <w:spacing w:after="0" w:line="240" w:lineRule="auto"/>
      </w:pPr>
      <w:r>
        <w:separator/>
      </w:r>
    </w:p>
  </w:footnote>
  <w:footnote w:type="continuationSeparator" w:id="0">
    <w:p w14:paraId="3EB7FCB2" w14:textId="77777777" w:rsidR="00C86809" w:rsidRDefault="00C86809" w:rsidP="00277B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98F8E" w14:textId="38C64133" w:rsidR="00277B2B" w:rsidRPr="00277B2B" w:rsidRDefault="00277B2B" w:rsidP="00277B2B">
    <w:pPr>
      <w:pStyle w:val="Encabezado"/>
      <w:jc w:val="right"/>
      <w:rPr>
        <w:i/>
        <w:iCs/>
        <w:lang w:val="es-ES"/>
      </w:rPr>
    </w:pPr>
    <w:r w:rsidRPr="00277B2B">
      <w:rPr>
        <w:i/>
        <w:iCs/>
        <w:lang w:val="es-ES"/>
      </w:rPr>
      <w:t>www.josefrevoredo.com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8B70C0"/>
    <w:multiLevelType w:val="hybridMultilevel"/>
    <w:tmpl w:val="967E00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5D337DD"/>
    <w:multiLevelType w:val="hybridMultilevel"/>
    <w:tmpl w:val="A07E962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6F52C3D"/>
    <w:multiLevelType w:val="hybridMultilevel"/>
    <w:tmpl w:val="918C20F4"/>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D3468E6"/>
    <w:multiLevelType w:val="hybridMultilevel"/>
    <w:tmpl w:val="F5D0F2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0446835"/>
    <w:multiLevelType w:val="hybridMultilevel"/>
    <w:tmpl w:val="32D20C54"/>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EE93D7F"/>
    <w:multiLevelType w:val="hybridMultilevel"/>
    <w:tmpl w:val="BFB4D120"/>
    <w:lvl w:ilvl="0" w:tplc="69FEA468">
      <w:numFmt w:val="bullet"/>
      <w:lvlText w:val="·"/>
      <w:lvlJc w:val="left"/>
      <w:pPr>
        <w:ind w:left="720" w:hanging="360"/>
      </w:pPr>
      <w:rPr>
        <w:rFonts w:ascii="Garamond" w:eastAsiaTheme="minorHAnsi" w:hAnsi="Garamond"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42255047"/>
    <w:multiLevelType w:val="hybridMultilevel"/>
    <w:tmpl w:val="DD5CB32C"/>
    <w:lvl w:ilvl="0" w:tplc="14F0BB32">
      <w:numFmt w:val="bullet"/>
      <w:lvlText w:val="·"/>
      <w:lvlJc w:val="left"/>
      <w:pPr>
        <w:ind w:left="720" w:hanging="360"/>
      </w:pPr>
      <w:rPr>
        <w:rFonts w:ascii="Garamond" w:eastAsiaTheme="minorHAnsi" w:hAnsi="Garamond"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6AB625E2"/>
    <w:multiLevelType w:val="hybridMultilevel"/>
    <w:tmpl w:val="F3FCD0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6E9C3896"/>
    <w:multiLevelType w:val="hybridMultilevel"/>
    <w:tmpl w:val="83D613B6"/>
    <w:lvl w:ilvl="0" w:tplc="06F8A168">
      <w:numFmt w:val="bullet"/>
      <w:lvlText w:val="·"/>
      <w:lvlJc w:val="left"/>
      <w:pPr>
        <w:ind w:left="720" w:hanging="360"/>
      </w:pPr>
      <w:rPr>
        <w:rFonts w:ascii="Garamond" w:eastAsiaTheme="minorHAnsi" w:hAnsi="Garamond"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781340337">
    <w:abstractNumId w:val="7"/>
  </w:num>
  <w:num w:numId="2" w16cid:durableId="169759937">
    <w:abstractNumId w:val="1"/>
  </w:num>
  <w:num w:numId="3" w16cid:durableId="1576940844">
    <w:abstractNumId w:val="0"/>
  </w:num>
  <w:num w:numId="4" w16cid:durableId="1365208175">
    <w:abstractNumId w:val="4"/>
  </w:num>
  <w:num w:numId="5" w16cid:durableId="792095420">
    <w:abstractNumId w:val="6"/>
  </w:num>
  <w:num w:numId="6" w16cid:durableId="447432012">
    <w:abstractNumId w:val="2"/>
  </w:num>
  <w:num w:numId="7" w16cid:durableId="1334916093">
    <w:abstractNumId w:val="5"/>
  </w:num>
  <w:num w:numId="8" w16cid:durableId="1148478871">
    <w:abstractNumId w:val="3"/>
  </w:num>
  <w:num w:numId="9" w16cid:durableId="211419989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256"/>
    <w:rsid w:val="000C0914"/>
    <w:rsid w:val="00113867"/>
    <w:rsid w:val="00181256"/>
    <w:rsid w:val="00191CB2"/>
    <w:rsid w:val="0025676D"/>
    <w:rsid w:val="00277B2B"/>
    <w:rsid w:val="00295217"/>
    <w:rsid w:val="003A2237"/>
    <w:rsid w:val="003B3F61"/>
    <w:rsid w:val="003D018C"/>
    <w:rsid w:val="004514FC"/>
    <w:rsid w:val="00506B10"/>
    <w:rsid w:val="005B3D65"/>
    <w:rsid w:val="006254EB"/>
    <w:rsid w:val="006F5059"/>
    <w:rsid w:val="007E4AEC"/>
    <w:rsid w:val="007F06D0"/>
    <w:rsid w:val="0083142D"/>
    <w:rsid w:val="008639E8"/>
    <w:rsid w:val="008D2D20"/>
    <w:rsid w:val="00A42FAB"/>
    <w:rsid w:val="00B63479"/>
    <w:rsid w:val="00B77828"/>
    <w:rsid w:val="00B97334"/>
    <w:rsid w:val="00C86809"/>
    <w:rsid w:val="00D829CA"/>
    <w:rsid w:val="00D90898"/>
    <w:rsid w:val="00E36EE8"/>
    <w:rsid w:val="00E56808"/>
    <w:rsid w:val="00F06C9B"/>
    <w:rsid w:val="00F20B0B"/>
    <w:rsid w:val="00F2707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7111AF"/>
  <w15:chartTrackingRefBased/>
  <w15:docId w15:val="{DFE539E2-BD3C-49D9-A9F6-D491094E3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256"/>
    <w:rPr>
      <w:lang w:val="en-US"/>
    </w:rPr>
  </w:style>
  <w:style w:type="paragraph" w:styleId="Ttulo1">
    <w:name w:val="heading 1"/>
    <w:basedOn w:val="Normal"/>
    <w:next w:val="Normal"/>
    <w:link w:val="Ttulo1Car"/>
    <w:uiPriority w:val="9"/>
    <w:qFormat/>
    <w:rsid w:val="0018125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8125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8125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8125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8125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8125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8125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8125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8125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81256"/>
    <w:rPr>
      <w:rFonts w:asciiTheme="majorHAnsi" w:eastAsiaTheme="majorEastAsia" w:hAnsiTheme="majorHAnsi" w:cstheme="majorBidi"/>
      <w:color w:val="2F5496" w:themeColor="accent1" w:themeShade="BF"/>
      <w:sz w:val="40"/>
      <w:szCs w:val="40"/>
      <w:lang w:val="en-US"/>
    </w:rPr>
  </w:style>
  <w:style w:type="character" w:customStyle="1" w:styleId="Ttulo2Car">
    <w:name w:val="Título 2 Car"/>
    <w:basedOn w:val="Fuentedeprrafopredeter"/>
    <w:link w:val="Ttulo2"/>
    <w:uiPriority w:val="9"/>
    <w:semiHidden/>
    <w:rsid w:val="00181256"/>
    <w:rPr>
      <w:rFonts w:asciiTheme="majorHAnsi" w:eastAsiaTheme="majorEastAsia" w:hAnsiTheme="majorHAnsi" w:cstheme="majorBidi"/>
      <w:color w:val="2F5496" w:themeColor="accent1" w:themeShade="BF"/>
      <w:sz w:val="32"/>
      <w:szCs w:val="32"/>
      <w:lang w:val="en-US"/>
    </w:rPr>
  </w:style>
  <w:style w:type="character" w:customStyle="1" w:styleId="Ttulo3Car">
    <w:name w:val="Título 3 Car"/>
    <w:basedOn w:val="Fuentedeprrafopredeter"/>
    <w:link w:val="Ttulo3"/>
    <w:uiPriority w:val="9"/>
    <w:semiHidden/>
    <w:rsid w:val="00181256"/>
    <w:rPr>
      <w:rFonts w:eastAsiaTheme="majorEastAsia" w:cstheme="majorBidi"/>
      <w:color w:val="2F5496" w:themeColor="accent1" w:themeShade="BF"/>
      <w:sz w:val="28"/>
      <w:szCs w:val="28"/>
      <w:lang w:val="en-US"/>
    </w:rPr>
  </w:style>
  <w:style w:type="character" w:customStyle="1" w:styleId="Ttulo4Car">
    <w:name w:val="Título 4 Car"/>
    <w:basedOn w:val="Fuentedeprrafopredeter"/>
    <w:link w:val="Ttulo4"/>
    <w:uiPriority w:val="9"/>
    <w:semiHidden/>
    <w:rsid w:val="00181256"/>
    <w:rPr>
      <w:rFonts w:eastAsiaTheme="majorEastAsia" w:cstheme="majorBidi"/>
      <w:i/>
      <w:iCs/>
      <w:color w:val="2F5496" w:themeColor="accent1" w:themeShade="BF"/>
      <w:lang w:val="en-US"/>
    </w:rPr>
  </w:style>
  <w:style w:type="character" w:customStyle="1" w:styleId="Ttulo5Car">
    <w:name w:val="Título 5 Car"/>
    <w:basedOn w:val="Fuentedeprrafopredeter"/>
    <w:link w:val="Ttulo5"/>
    <w:uiPriority w:val="9"/>
    <w:semiHidden/>
    <w:rsid w:val="00181256"/>
    <w:rPr>
      <w:rFonts w:eastAsiaTheme="majorEastAsia" w:cstheme="majorBidi"/>
      <w:color w:val="2F5496" w:themeColor="accent1" w:themeShade="BF"/>
      <w:lang w:val="en-US"/>
    </w:rPr>
  </w:style>
  <w:style w:type="character" w:customStyle="1" w:styleId="Ttulo6Car">
    <w:name w:val="Título 6 Car"/>
    <w:basedOn w:val="Fuentedeprrafopredeter"/>
    <w:link w:val="Ttulo6"/>
    <w:uiPriority w:val="9"/>
    <w:semiHidden/>
    <w:rsid w:val="00181256"/>
    <w:rPr>
      <w:rFonts w:eastAsiaTheme="majorEastAsia" w:cstheme="majorBidi"/>
      <w:i/>
      <w:iCs/>
      <w:color w:val="595959" w:themeColor="text1" w:themeTint="A6"/>
      <w:lang w:val="en-US"/>
    </w:rPr>
  </w:style>
  <w:style w:type="character" w:customStyle="1" w:styleId="Ttulo7Car">
    <w:name w:val="Título 7 Car"/>
    <w:basedOn w:val="Fuentedeprrafopredeter"/>
    <w:link w:val="Ttulo7"/>
    <w:uiPriority w:val="9"/>
    <w:semiHidden/>
    <w:rsid w:val="00181256"/>
    <w:rPr>
      <w:rFonts w:eastAsiaTheme="majorEastAsia" w:cstheme="majorBidi"/>
      <w:color w:val="595959" w:themeColor="text1" w:themeTint="A6"/>
      <w:lang w:val="en-US"/>
    </w:rPr>
  </w:style>
  <w:style w:type="character" w:customStyle="1" w:styleId="Ttulo8Car">
    <w:name w:val="Título 8 Car"/>
    <w:basedOn w:val="Fuentedeprrafopredeter"/>
    <w:link w:val="Ttulo8"/>
    <w:uiPriority w:val="9"/>
    <w:semiHidden/>
    <w:rsid w:val="00181256"/>
    <w:rPr>
      <w:rFonts w:eastAsiaTheme="majorEastAsia" w:cstheme="majorBidi"/>
      <w:i/>
      <w:iCs/>
      <w:color w:val="272727" w:themeColor="text1" w:themeTint="D8"/>
      <w:lang w:val="en-US"/>
    </w:rPr>
  </w:style>
  <w:style w:type="character" w:customStyle="1" w:styleId="Ttulo9Car">
    <w:name w:val="Título 9 Car"/>
    <w:basedOn w:val="Fuentedeprrafopredeter"/>
    <w:link w:val="Ttulo9"/>
    <w:uiPriority w:val="9"/>
    <w:semiHidden/>
    <w:rsid w:val="00181256"/>
    <w:rPr>
      <w:rFonts w:eastAsiaTheme="majorEastAsia" w:cstheme="majorBidi"/>
      <w:color w:val="272727" w:themeColor="text1" w:themeTint="D8"/>
      <w:lang w:val="en-US"/>
    </w:rPr>
  </w:style>
  <w:style w:type="paragraph" w:styleId="Ttulo">
    <w:name w:val="Title"/>
    <w:basedOn w:val="Normal"/>
    <w:next w:val="Normal"/>
    <w:link w:val="TtuloCar"/>
    <w:uiPriority w:val="10"/>
    <w:qFormat/>
    <w:rsid w:val="001812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81256"/>
    <w:rPr>
      <w:rFonts w:asciiTheme="majorHAnsi" w:eastAsiaTheme="majorEastAsia" w:hAnsiTheme="majorHAnsi" w:cstheme="majorBidi"/>
      <w:spacing w:val="-10"/>
      <w:kern w:val="28"/>
      <w:sz w:val="56"/>
      <w:szCs w:val="56"/>
      <w:lang w:val="en-US"/>
    </w:rPr>
  </w:style>
  <w:style w:type="paragraph" w:styleId="Subttulo">
    <w:name w:val="Subtitle"/>
    <w:basedOn w:val="Normal"/>
    <w:next w:val="Normal"/>
    <w:link w:val="SubttuloCar"/>
    <w:uiPriority w:val="11"/>
    <w:qFormat/>
    <w:rsid w:val="0018125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81256"/>
    <w:rPr>
      <w:rFonts w:eastAsiaTheme="majorEastAsia" w:cstheme="majorBidi"/>
      <w:color w:val="595959" w:themeColor="text1" w:themeTint="A6"/>
      <w:spacing w:val="15"/>
      <w:sz w:val="28"/>
      <w:szCs w:val="28"/>
      <w:lang w:val="en-US"/>
    </w:rPr>
  </w:style>
  <w:style w:type="paragraph" w:styleId="Cita">
    <w:name w:val="Quote"/>
    <w:basedOn w:val="Normal"/>
    <w:next w:val="Normal"/>
    <w:link w:val="CitaCar"/>
    <w:uiPriority w:val="29"/>
    <w:qFormat/>
    <w:rsid w:val="00181256"/>
    <w:pPr>
      <w:spacing w:before="160"/>
      <w:jc w:val="center"/>
    </w:pPr>
    <w:rPr>
      <w:i/>
      <w:iCs/>
      <w:color w:val="404040" w:themeColor="text1" w:themeTint="BF"/>
    </w:rPr>
  </w:style>
  <w:style w:type="character" w:customStyle="1" w:styleId="CitaCar">
    <w:name w:val="Cita Car"/>
    <w:basedOn w:val="Fuentedeprrafopredeter"/>
    <w:link w:val="Cita"/>
    <w:uiPriority w:val="29"/>
    <w:rsid w:val="00181256"/>
    <w:rPr>
      <w:i/>
      <w:iCs/>
      <w:color w:val="404040" w:themeColor="text1" w:themeTint="BF"/>
      <w:lang w:val="en-US"/>
    </w:rPr>
  </w:style>
  <w:style w:type="paragraph" w:styleId="Prrafodelista">
    <w:name w:val="List Paragraph"/>
    <w:basedOn w:val="Normal"/>
    <w:uiPriority w:val="34"/>
    <w:qFormat/>
    <w:rsid w:val="00181256"/>
    <w:pPr>
      <w:ind w:left="720"/>
      <w:contextualSpacing/>
    </w:pPr>
  </w:style>
  <w:style w:type="character" w:styleId="nfasisintenso">
    <w:name w:val="Intense Emphasis"/>
    <w:basedOn w:val="Fuentedeprrafopredeter"/>
    <w:uiPriority w:val="21"/>
    <w:qFormat/>
    <w:rsid w:val="00181256"/>
    <w:rPr>
      <w:i/>
      <w:iCs/>
      <w:color w:val="2F5496" w:themeColor="accent1" w:themeShade="BF"/>
    </w:rPr>
  </w:style>
  <w:style w:type="paragraph" w:styleId="Citadestacada">
    <w:name w:val="Intense Quote"/>
    <w:basedOn w:val="Normal"/>
    <w:next w:val="Normal"/>
    <w:link w:val="CitadestacadaCar"/>
    <w:uiPriority w:val="30"/>
    <w:qFormat/>
    <w:rsid w:val="0018125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81256"/>
    <w:rPr>
      <w:i/>
      <w:iCs/>
      <w:color w:val="2F5496" w:themeColor="accent1" w:themeShade="BF"/>
      <w:lang w:val="en-US"/>
    </w:rPr>
  </w:style>
  <w:style w:type="character" w:styleId="Referenciaintensa">
    <w:name w:val="Intense Reference"/>
    <w:basedOn w:val="Fuentedeprrafopredeter"/>
    <w:uiPriority w:val="32"/>
    <w:qFormat/>
    <w:rsid w:val="00181256"/>
    <w:rPr>
      <w:b/>
      <w:bCs/>
      <w:smallCaps/>
      <w:color w:val="2F5496" w:themeColor="accent1" w:themeShade="BF"/>
      <w:spacing w:val="5"/>
    </w:rPr>
  </w:style>
  <w:style w:type="paragraph" w:customStyle="1" w:styleId="TEMASTITULO">
    <w:name w:val="TEMASTITULO"/>
    <w:basedOn w:val="Normal"/>
    <w:qFormat/>
    <w:rsid w:val="004514FC"/>
    <w:pPr>
      <w:keepNext/>
      <w:keepLines/>
      <w:spacing w:before="240" w:after="240"/>
      <w:ind w:firstLine="289"/>
      <w:jc w:val="center"/>
    </w:pPr>
    <w:rPr>
      <w:rFonts w:ascii="Garamond" w:eastAsia="Times New Roman" w:hAnsi="Garamond" w:cs="Times New Roman"/>
      <w:b/>
      <w:bCs/>
      <w:caps/>
      <w:color w:val="2E74B5"/>
      <w:sz w:val="28"/>
      <w:szCs w:val="32"/>
      <w:lang w:eastAsia="es-ES"/>
    </w:rPr>
  </w:style>
  <w:style w:type="paragraph" w:styleId="Encabezado">
    <w:name w:val="header"/>
    <w:basedOn w:val="Normal"/>
    <w:link w:val="EncabezadoCar"/>
    <w:uiPriority w:val="99"/>
    <w:unhideWhenUsed/>
    <w:rsid w:val="00277B2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77B2B"/>
    <w:rPr>
      <w:lang w:val="en-US"/>
    </w:rPr>
  </w:style>
  <w:style w:type="paragraph" w:styleId="Piedepgina">
    <w:name w:val="footer"/>
    <w:basedOn w:val="Normal"/>
    <w:link w:val="PiedepginaCar"/>
    <w:uiPriority w:val="99"/>
    <w:unhideWhenUsed/>
    <w:rsid w:val="00277B2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77B2B"/>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7</Pages>
  <Words>1265</Words>
  <Characters>6961</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Revoredo</dc:creator>
  <cp:keywords/>
  <dc:description/>
  <cp:lastModifiedBy>Jose Revoredo</cp:lastModifiedBy>
  <cp:revision>9</cp:revision>
  <dcterms:created xsi:type="dcterms:W3CDTF">2025-11-13T22:17:00Z</dcterms:created>
  <dcterms:modified xsi:type="dcterms:W3CDTF">2025-11-13T23:20:00Z</dcterms:modified>
</cp:coreProperties>
</file>