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2CBDD" w14:textId="60AF10EF" w:rsidR="004514FC" w:rsidRPr="00A42FAB" w:rsidRDefault="00A42FAB" w:rsidP="00A42FAB">
      <w:pPr>
        <w:rPr>
          <w:rFonts w:ascii="Garamond" w:hAnsi="Garamond"/>
          <w:b/>
          <w:bCs/>
          <w:color w:val="2E74B5" w:themeColor="accent5" w:themeShade="BF"/>
          <w:sz w:val="40"/>
          <w:szCs w:val="40"/>
          <w:lang w:val="es-PE"/>
        </w:rPr>
      </w:pPr>
      <w:r w:rsidRPr="00A42FAB">
        <w:rPr>
          <w:rFonts w:ascii="Garamond" w:hAnsi="Garamond"/>
          <w:b/>
          <w:bCs/>
          <w:color w:val="2E74B5" w:themeColor="accent5" w:themeShade="BF"/>
          <w:sz w:val="40"/>
          <w:szCs w:val="40"/>
          <w:lang w:val="es-PE"/>
        </w:rPr>
        <w:t>OVNI/UFO: La historia jamás contada</w:t>
      </w:r>
    </w:p>
    <w:p w14:paraId="1D25709D" w14:textId="5F452222" w:rsidR="004514FC" w:rsidRPr="00A42FAB" w:rsidRDefault="00A42FAB" w:rsidP="004514FC">
      <w:pPr>
        <w:rPr>
          <w:rFonts w:ascii="Garamond" w:hAnsi="Garamond"/>
          <w:b/>
          <w:bCs/>
          <w:i/>
          <w:iCs/>
          <w:color w:val="000000" w:themeColor="text1"/>
          <w:sz w:val="32"/>
          <w:szCs w:val="32"/>
          <w:lang w:val="es-PE"/>
        </w:rPr>
      </w:pPr>
      <w:r w:rsidRPr="00A42FAB">
        <w:rPr>
          <w:rFonts w:ascii="Garamond" w:hAnsi="Garamond"/>
          <w:b/>
          <w:bCs/>
          <w:i/>
          <w:iCs/>
          <w:color w:val="000000" w:themeColor="text1"/>
          <w:sz w:val="32"/>
          <w:szCs w:val="32"/>
          <w:lang w:val="es-PE"/>
        </w:rPr>
        <w:t>Un extraordinario viaje a través de la razón y el cosmos</w:t>
      </w:r>
    </w:p>
    <w:p w14:paraId="6D214089" w14:textId="1EEC1CB5" w:rsidR="008D2D20" w:rsidRPr="00A42FAB" w:rsidRDefault="007F06D0" w:rsidP="00E36EE8">
      <w:pPr>
        <w:spacing w:before="360"/>
        <w:rPr>
          <w:rFonts w:ascii="Garamond" w:hAnsi="Garamond"/>
          <w:b/>
          <w:bCs/>
          <w:color w:val="000000" w:themeColor="text1"/>
          <w:sz w:val="24"/>
          <w:szCs w:val="24"/>
          <w:lang w:val="es-PE"/>
        </w:rPr>
      </w:pPr>
      <w:r w:rsidRPr="007F06D0">
        <w:rPr>
          <w:rFonts w:ascii="Garamond" w:hAnsi="Garamond"/>
          <w:b/>
          <w:bCs/>
          <w:color w:val="000000" w:themeColor="text1"/>
          <w:sz w:val="24"/>
          <w:szCs w:val="24"/>
          <w:lang w:val="es-PE"/>
        </w:rPr>
        <w:t>Análisis Global de la Obra</w:t>
      </w:r>
    </w:p>
    <w:p w14:paraId="797C97B7" w14:textId="0D760EE8" w:rsidR="007F06D0" w:rsidRPr="007F06D0" w:rsidRDefault="007F06D0" w:rsidP="00950DCB">
      <w:pPr>
        <w:ind w:firstLine="289"/>
        <w:jc w:val="both"/>
        <w:rPr>
          <w:rFonts w:ascii="Garamond" w:hAnsi="Garamond"/>
          <w:color w:val="000000" w:themeColor="text1"/>
          <w:sz w:val="24"/>
          <w:szCs w:val="24"/>
          <w:lang w:val="es-PE"/>
        </w:rPr>
      </w:pPr>
      <w:r w:rsidRPr="007F06D0">
        <w:rPr>
          <w:rFonts w:ascii="Garamond" w:hAnsi="Garamond"/>
          <w:color w:val="000000" w:themeColor="text1"/>
          <w:sz w:val="24"/>
          <w:szCs w:val="24"/>
          <w:lang w:val="es-PE"/>
        </w:rPr>
        <w:t>El libro aborda el fenómeno OVNI desde una perspectiva seria, formal y accesible, evitando el sensacionalismo. Destaca por su rigor investigativo y su naturaleza metódica. Esta obra equilibra profundidad filosófica, precisión científica y un lenguaje claro, tendiendo un puente entre la ciencia y la filosofía, ideal para lectores que buscan una base conceptual sólida.</w:t>
      </w:r>
    </w:p>
    <w:p w14:paraId="0B8CABF5" w14:textId="03E7FABC" w:rsidR="008D2D20" w:rsidRPr="00A42FAB" w:rsidRDefault="007F06D0" w:rsidP="00950DCB">
      <w:pPr>
        <w:ind w:firstLine="289"/>
        <w:jc w:val="both"/>
        <w:rPr>
          <w:rFonts w:ascii="Garamond" w:hAnsi="Garamond"/>
          <w:color w:val="000000" w:themeColor="text1"/>
          <w:sz w:val="24"/>
          <w:szCs w:val="24"/>
          <w:lang w:val="es-PE"/>
        </w:rPr>
      </w:pPr>
      <w:r w:rsidRPr="007F06D0">
        <w:rPr>
          <w:rFonts w:ascii="Garamond" w:hAnsi="Garamond"/>
          <w:color w:val="000000" w:themeColor="text1"/>
          <w:sz w:val="24"/>
          <w:szCs w:val="24"/>
          <w:lang w:val="es-PE"/>
        </w:rPr>
        <w:t>Se valora especialmente la inclusión de información sobre la desclasificación oficial de documentos gubernamentales, un tema de gran relevancia contemporánea. Aunque aborda conceptos complejos, el texto mantiene claridad gracias a un tono académico accesible, apoyándose en analogías innovadoras para facilitar la comprensión de ideas abstractas.</w:t>
      </w:r>
    </w:p>
    <w:p w14:paraId="51C52DC3" w14:textId="309E7977" w:rsidR="008D2D20" w:rsidRPr="00A42FAB" w:rsidRDefault="007F06D0" w:rsidP="00E36EE8">
      <w:pPr>
        <w:spacing w:before="360"/>
        <w:rPr>
          <w:rFonts w:ascii="Garamond" w:hAnsi="Garamond"/>
          <w:b/>
          <w:bCs/>
          <w:color w:val="000000" w:themeColor="text1"/>
          <w:sz w:val="24"/>
          <w:szCs w:val="24"/>
          <w:lang w:val="es-PE"/>
        </w:rPr>
      </w:pPr>
      <w:r w:rsidRPr="007F06D0">
        <w:rPr>
          <w:rFonts w:ascii="Garamond" w:hAnsi="Garamond"/>
          <w:b/>
          <w:bCs/>
          <w:color w:val="000000" w:themeColor="text1"/>
          <w:sz w:val="24"/>
          <w:szCs w:val="24"/>
          <w:lang w:val="es-PE"/>
        </w:rPr>
        <w:t>Fortalezas Fundamentales</w:t>
      </w:r>
      <w:r w:rsidR="008D2D20" w:rsidRPr="00A42FAB">
        <w:rPr>
          <w:rFonts w:ascii="Garamond" w:hAnsi="Garamond"/>
          <w:b/>
          <w:bCs/>
          <w:color w:val="000000" w:themeColor="text1"/>
          <w:sz w:val="24"/>
          <w:szCs w:val="24"/>
          <w:lang w:val="es-PE"/>
        </w:rPr>
        <w:t>:</w:t>
      </w:r>
    </w:p>
    <w:p w14:paraId="586C495E" w14:textId="77777777" w:rsidR="007F06D0" w:rsidRPr="007F06D0" w:rsidRDefault="007F06D0" w:rsidP="007F06D0">
      <w:pPr>
        <w:pStyle w:val="Prrafodelista"/>
        <w:numPr>
          <w:ilvl w:val="0"/>
          <w:numId w:val="4"/>
        </w:numPr>
        <w:jc w:val="both"/>
        <w:rPr>
          <w:rFonts w:ascii="Garamond" w:hAnsi="Garamond"/>
          <w:color w:val="000000" w:themeColor="text1"/>
          <w:sz w:val="24"/>
          <w:szCs w:val="24"/>
          <w:lang w:val="es-PE"/>
        </w:rPr>
      </w:pPr>
      <w:r w:rsidRPr="007F06D0">
        <w:rPr>
          <w:rFonts w:ascii="Garamond" w:hAnsi="Garamond"/>
          <w:b/>
          <w:bCs/>
          <w:color w:val="000000" w:themeColor="text1"/>
          <w:sz w:val="24"/>
          <w:szCs w:val="24"/>
          <w:lang w:val="es-PE"/>
        </w:rPr>
        <w:t xml:space="preserve">Erudición y Rigor: </w:t>
      </w:r>
      <w:r w:rsidRPr="007F06D0">
        <w:rPr>
          <w:rFonts w:ascii="Garamond" w:hAnsi="Garamond"/>
          <w:color w:val="000000" w:themeColor="text1"/>
          <w:sz w:val="24"/>
          <w:szCs w:val="24"/>
          <w:lang w:val="es-PE"/>
        </w:rPr>
        <w:t xml:space="preserve">Maneja un vasto repertorio de culturas —sumeria, acadia, hindú, griega, maya, inca, muisca, mapuche, guaraní, chibcha, aborigen australiana, entre otras— con notable precisión en detalles mitológicos y referencias a cronistas y </w:t>
      </w:r>
      <w:r w:rsidRPr="007F06D0">
        <w:rPr>
          <w:rFonts w:ascii="Garamond" w:hAnsi="Garamond"/>
          <w:color w:val="000000" w:themeColor="text1"/>
          <w:sz w:val="24"/>
          <w:szCs w:val="24"/>
          <w:lang w:val="es-PE"/>
        </w:rPr>
        <w:lastRenderedPageBreak/>
        <w:t>fuentes primarias, lo que le confiere una sólida credibilidad académica.</w:t>
      </w:r>
    </w:p>
    <w:p w14:paraId="4D47742A" w14:textId="6067C340" w:rsidR="007F06D0" w:rsidRPr="007F06D0" w:rsidRDefault="007F06D0" w:rsidP="007F06D0">
      <w:pPr>
        <w:pStyle w:val="Prrafodelista"/>
        <w:numPr>
          <w:ilvl w:val="0"/>
          <w:numId w:val="4"/>
        </w:numPr>
        <w:jc w:val="both"/>
        <w:rPr>
          <w:rFonts w:ascii="Garamond" w:hAnsi="Garamond"/>
          <w:b/>
          <w:bCs/>
          <w:color w:val="000000" w:themeColor="text1"/>
          <w:sz w:val="24"/>
          <w:szCs w:val="24"/>
          <w:lang w:val="es-PE"/>
        </w:rPr>
      </w:pPr>
      <w:r w:rsidRPr="007F06D0">
        <w:rPr>
          <w:rFonts w:ascii="Garamond" w:hAnsi="Garamond"/>
          <w:b/>
          <w:bCs/>
          <w:color w:val="000000" w:themeColor="text1"/>
          <w:sz w:val="24"/>
          <w:szCs w:val="24"/>
          <w:lang w:val="es-PE"/>
        </w:rPr>
        <w:t xml:space="preserve">Estructura Lógica y Poderosa: </w:t>
      </w:r>
      <w:r w:rsidRPr="007F06D0">
        <w:rPr>
          <w:rFonts w:ascii="Garamond" w:hAnsi="Garamond"/>
          <w:color w:val="000000" w:themeColor="text1"/>
          <w:sz w:val="24"/>
          <w:szCs w:val="24"/>
          <w:lang w:val="es-PE"/>
        </w:rPr>
        <w:t>No se limita a recopilar mitos; presenta cada tradición por separado para luego, en su sección final, establecer una comparación sistemática y proponer una hipótesis unificadora. Esta estructura guía al lector desde lo particular hacia lo universal, haciendo que la conclusión resulte a la vez fascinante e inevitable.</w:t>
      </w:r>
    </w:p>
    <w:p w14:paraId="49404101" w14:textId="15A7EFC4" w:rsidR="007F06D0" w:rsidRPr="007F06D0" w:rsidRDefault="007F06D0" w:rsidP="007F06D0">
      <w:pPr>
        <w:pStyle w:val="Prrafodelista"/>
        <w:numPr>
          <w:ilvl w:val="0"/>
          <w:numId w:val="4"/>
        </w:numPr>
        <w:jc w:val="both"/>
        <w:rPr>
          <w:rFonts w:ascii="Garamond" w:hAnsi="Garamond"/>
          <w:b/>
          <w:bCs/>
          <w:color w:val="000000" w:themeColor="text1"/>
          <w:sz w:val="24"/>
          <w:szCs w:val="24"/>
          <w:lang w:val="es-PE"/>
        </w:rPr>
      </w:pPr>
      <w:r w:rsidRPr="007F06D0">
        <w:rPr>
          <w:rFonts w:ascii="Garamond" w:hAnsi="Garamond"/>
          <w:b/>
          <w:bCs/>
          <w:color w:val="000000" w:themeColor="text1"/>
          <w:sz w:val="24"/>
          <w:szCs w:val="24"/>
          <w:lang w:val="es-PE"/>
        </w:rPr>
        <w:t xml:space="preserve">Capacidad de Síntesis: </w:t>
      </w:r>
      <w:r w:rsidRPr="007F06D0">
        <w:rPr>
          <w:rFonts w:ascii="Garamond" w:hAnsi="Garamond"/>
          <w:color w:val="000000" w:themeColor="text1"/>
          <w:sz w:val="24"/>
          <w:szCs w:val="24"/>
          <w:lang w:val="es-PE"/>
        </w:rPr>
        <w:t>Logra resumir narrativas mitológicas complejas —como el Matsya Purana hindú o la saga de los cinco soles mexicas— de manera accesible sin perder su esencia. El "decálogo" final de similitudes constituye una muestra excepcional de síntesis analítica.</w:t>
      </w:r>
    </w:p>
    <w:p w14:paraId="04F35B32" w14:textId="05019A8B" w:rsidR="007F06D0" w:rsidRPr="007F06D0" w:rsidRDefault="007F06D0" w:rsidP="007F06D0">
      <w:pPr>
        <w:pStyle w:val="Prrafodelista"/>
        <w:numPr>
          <w:ilvl w:val="0"/>
          <w:numId w:val="4"/>
        </w:numPr>
        <w:jc w:val="both"/>
        <w:rPr>
          <w:rFonts w:ascii="Garamond" w:hAnsi="Garamond"/>
          <w:color w:val="000000" w:themeColor="text1"/>
          <w:sz w:val="24"/>
          <w:szCs w:val="24"/>
          <w:lang w:val="es-PE"/>
        </w:rPr>
      </w:pPr>
      <w:r w:rsidRPr="007F06D0">
        <w:rPr>
          <w:rFonts w:ascii="Garamond" w:hAnsi="Garamond"/>
          <w:b/>
          <w:bCs/>
          <w:color w:val="000000" w:themeColor="text1"/>
          <w:sz w:val="24"/>
          <w:szCs w:val="24"/>
          <w:lang w:val="es-PE"/>
        </w:rPr>
        <w:t xml:space="preserve">Audacia Intelectual: </w:t>
      </w:r>
      <w:r w:rsidRPr="007F06D0">
        <w:rPr>
          <w:rFonts w:ascii="Garamond" w:hAnsi="Garamond"/>
          <w:color w:val="000000" w:themeColor="text1"/>
          <w:sz w:val="24"/>
          <w:szCs w:val="24"/>
          <w:lang w:val="es-PE"/>
        </w:rPr>
        <w:t>No se limita a describir; interpreta y cuestiona. Plantear abiertamente la hipótesis de una intervención extraterrestre o de una confusión teológica —vía gnosticismo— como explicación a los patrones universales demuestra gran osadía. Dicha audacia, sin embargo, se halla sólidamente cimentada en la evidencia presentada a lo largo de la obra, lo que la convierte en una provocación intelectual legítima y bien fundamentada.</w:t>
      </w:r>
    </w:p>
    <w:p w14:paraId="365AA9FF" w14:textId="67BC93D6" w:rsidR="008D2D20" w:rsidRPr="00A42FAB" w:rsidRDefault="007F06D0" w:rsidP="00E36EE8">
      <w:pPr>
        <w:spacing w:before="360"/>
        <w:rPr>
          <w:rFonts w:ascii="Garamond" w:hAnsi="Garamond"/>
          <w:b/>
          <w:bCs/>
          <w:color w:val="000000" w:themeColor="text1"/>
          <w:sz w:val="24"/>
          <w:szCs w:val="24"/>
          <w:lang w:val="es-PE"/>
        </w:rPr>
      </w:pPr>
      <w:r w:rsidRPr="007F06D0">
        <w:rPr>
          <w:rFonts w:ascii="Garamond" w:hAnsi="Garamond"/>
          <w:b/>
          <w:bCs/>
          <w:color w:val="000000" w:themeColor="text1"/>
          <w:sz w:val="24"/>
          <w:szCs w:val="24"/>
          <w:lang w:val="es-PE"/>
        </w:rPr>
        <w:t>Tesis Central y Su Desarrollo</w:t>
      </w:r>
      <w:r w:rsidR="008D2D20" w:rsidRPr="00A42FAB">
        <w:rPr>
          <w:rFonts w:ascii="Garamond" w:hAnsi="Garamond"/>
          <w:b/>
          <w:bCs/>
          <w:color w:val="000000" w:themeColor="text1"/>
          <w:sz w:val="24"/>
          <w:szCs w:val="24"/>
          <w:lang w:val="es-PE"/>
        </w:rPr>
        <w:t>:</w:t>
      </w:r>
    </w:p>
    <w:p w14:paraId="43953FC7" w14:textId="198DED82" w:rsidR="008D2D20" w:rsidRPr="00A42FAB" w:rsidRDefault="007F06D0" w:rsidP="00950DCB">
      <w:pPr>
        <w:ind w:firstLine="289"/>
        <w:jc w:val="both"/>
        <w:rPr>
          <w:rFonts w:ascii="Garamond" w:hAnsi="Garamond"/>
          <w:color w:val="000000" w:themeColor="text1"/>
          <w:sz w:val="24"/>
          <w:szCs w:val="24"/>
          <w:lang w:val="es-PE"/>
        </w:rPr>
      </w:pPr>
      <w:r w:rsidRPr="007F06D0">
        <w:rPr>
          <w:rFonts w:ascii="Garamond" w:hAnsi="Garamond"/>
          <w:color w:val="000000" w:themeColor="text1"/>
          <w:sz w:val="24"/>
          <w:szCs w:val="24"/>
          <w:lang w:val="es-PE"/>
        </w:rPr>
        <w:t xml:space="preserve">La tesis principal —la existencia de un "arquetipo religioso universal" cuyas coincidencias son demasiado precisas y numerosas para atribuirlas al azar— queda </w:t>
      </w:r>
      <w:r w:rsidRPr="007F06D0">
        <w:rPr>
          <w:rFonts w:ascii="Garamond" w:hAnsi="Garamond"/>
          <w:color w:val="000000" w:themeColor="text1"/>
          <w:sz w:val="24"/>
          <w:szCs w:val="24"/>
          <w:lang w:val="es-PE"/>
        </w:rPr>
        <w:lastRenderedPageBreak/>
        <w:t>demostrada de manera contundente. La evolución del argumento es impecable:</w:t>
      </w:r>
    </w:p>
    <w:p w14:paraId="122E85FC" w14:textId="191E8BA6" w:rsidR="007F06D0" w:rsidRPr="007F06D0" w:rsidRDefault="007F06D0" w:rsidP="007F06D0">
      <w:pPr>
        <w:pStyle w:val="Prrafodelista"/>
        <w:numPr>
          <w:ilvl w:val="0"/>
          <w:numId w:val="6"/>
        </w:numPr>
        <w:jc w:val="both"/>
        <w:rPr>
          <w:rFonts w:ascii="Garamond" w:hAnsi="Garamond"/>
          <w:color w:val="000000" w:themeColor="text1"/>
          <w:sz w:val="24"/>
          <w:szCs w:val="24"/>
          <w:lang w:val="es-PE"/>
        </w:rPr>
      </w:pPr>
      <w:r w:rsidRPr="007F06D0">
        <w:rPr>
          <w:rFonts w:ascii="Garamond" w:hAnsi="Garamond"/>
          <w:b/>
          <w:bCs/>
          <w:color w:val="000000" w:themeColor="text1"/>
          <w:sz w:val="24"/>
          <w:szCs w:val="24"/>
          <w:lang w:val="es-PE"/>
        </w:rPr>
        <w:t>Fase 1 (Evidencia):</w:t>
      </w:r>
      <w:r w:rsidRPr="007F06D0">
        <w:rPr>
          <w:rFonts w:ascii="Garamond" w:hAnsi="Garamond"/>
          <w:color w:val="000000" w:themeColor="text1"/>
          <w:sz w:val="24"/>
          <w:szCs w:val="24"/>
          <w:lang w:val="es-PE"/>
        </w:rPr>
        <w:t xml:space="preserve"> Presenta los mitos de forma aislada, permitiendo apreciar su singularidad.</w:t>
      </w:r>
    </w:p>
    <w:p w14:paraId="1DD6BDAF" w14:textId="2E183D76" w:rsidR="007F06D0" w:rsidRPr="007F06D0" w:rsidRDefault="007F06D0" w:rsidP="007F06D0">
      <w:pPr>
        <w:pStyle w:val="Prrafodelista"/>
        <w:numPr>
          <w:ilvl w:val="0"/>
          <w:numId w:val="6"/>
        </w:numPr>
        <w:jc w:val="both"/>
        <w:rPr>
          <w:rFonts w:ascii="Garamond" w:hAnsi="Garamond"/>
          <w:color w:val="000000" w:themeColor="text1"/>
          <w:sz w:val="24"/>
          <w:szCs w:val="24"/>
          <w:lang w:val="es-PE"/>
        </w:rPr>
      </w:pPr>
      <w:r w:rsidRPr="007F06D0">
        <w:rPr>
          <w:rFonts w:ascii="Garamond" w:hAnsi="Garamond"/>
          <w:b/>
          <w:bCs/>
          <w:color w:val="000000" w:themeColor="text1"/>
          <w:sz w:val="24"/>
          <w:szCs w:val="24"/>
          <w:lang w:val="es-PE"/>
        </w:rPr>
        <w:t>Fase 2 (Comparación):</w:t>
      </w:r>
      <w:r w:rsidRPr="007F06D0">
        <w:rPr>
          <w:rFonts w:ascii="Garamond" w:hAnsi="Garamond"/>
          <w:color w:val="000000" w:themeColor="text1"/>
          <w:sz w:val="24"/>
          <w:szCs w:val="24"/>
          <w:lang w:val="es-PE"/>
        </w:rPr>
        <w:t xml:space="preserve"> Señala paralelismos evidentes</w:t>
      </w:r>
      <w:r>
        <w:rPr>
          <w:rFonts w:ascii="Garamond" w:hAnsi="Garamond"/>
          <w:color w:val="000000" w:themeColor="text1"/>
          <w:sz w:val="24"/>
          <w:szCs w:val="24"/>
          <w:lang w:val="es-PE"/>
        </w:rPr>
        <w:t xml:space="preserve"> </w:t>
      </w:r>
      <w:r w:rsidR="00277B2B">
        <w:rPr>
          <w:rFonts w:ascii="Garamond" w:hAnsi="Garamond"/>
          <w:color w:val="000000" w:themeColor="text1"/>
          <w:sz w:val="24"/>
          <w:szCs w:val="24"/>
          <w:lang w:val="es-PE"/>
        </w:rPr>
        <w:t>-</w:t>
      </w:r>
      <w:r w:rsidRPr="007F06D0">
        <w:rPr>
          <w:rFonts w:ascii="Garamond" w:hAnsi="Garamond"/>
          <w:color w:val="000000" w:themeColor="text1"/>
          <w:sz w:val="24"/>
          <w:szCs w:val="24"/>
          <w:lang w:val="es-PE"/>
        </w:rPr>
        <w:t>diluvio, dios creador, deidad civilizadora</w:t>
      </w:r>
      <w:r w:rsidR="00277B2B">
        <w:rPr>
          <w:rFonts w:ascii="Garamond" w:hAnsi="Garamond"/>
          <w:color w:val="000000" w:themeColor="text1"/>
          <w:sz w:val="24"/>
          <w:szCs w:val="24"/>
          <w:lang w:val="es-PE"/>
        </w:rPr>
        <w:t>-</w:t>
      </w:r>
    </w:p>
    <w:p w14:paraId="5237B1B3" w14:textId="2F2A18A4" w:rsidR="007F06D0" w:rsidRPr="007F06D0" w:rsidRDefault="007F06D0" w:rsidP="007F06D0">
      <w:pPr>
        <w:pStyle w:val="Prrafodelista"/>
        <w:numPr>
          <w:ilvl w:val="0"/>
          <w:numId w:val="6"/>
        </w:numPr>
        <w:jc w:val="both"/>
        <w:rPr>
          <w:rFonts w:ascii="Garamond" w:hAnsi="Garamond"/>
          <w:color w:val="000000" w:themeColor="text1"/>
          <w:sz w:val="24"/>
          <w:szCs w:val="24"/>
          <w:lang w:val="es-PE"/>
        </w:rPr>
      </w:pPr>
      <w:r w:rsidRPr="007F06D0">
        <w:rPr>
          <w:rFonts w:ascii="Garamond" w:hAnsi="Garamond"/>
          <w:b/>
          <w:bCs/>
          <w:color w:val="000000" w:themeColor="text1"/>
          <w:sz w:val="24"/>
          <w:szCs w:val="24"/>
          <w:lang w:val="es-PE"/>
        </w:rPr>
        <w:t>Fase 3 (Sistematización):</w:t>
      </w:r>
      <w:r w:rsidRPr="007F06D0">
        <w:rPr>
          <w:rFonts w:ascii="Garamond" w:hAnsi="Garamond"/>
          <w:color w:val="000000" w:themeColor="text1"/>
          <w:sz w:val="24"/>
          <w:szCs w:val="24"/>
          <w:lang w:val="es-PE"/>
        </w:rPr>
        <w:t xml:space="preserve"> Identifica patrones estructurales profundos </w:t>
      </w:r>
      <w:r w:rsidR="00277B2B">
        <w:rPr>
          <w:rFonts w:ascii="Garamond" w:hAnsi="Garamond"/>
          <w:color w:val="000000" w:themeColor="text1"/>
          <w:sz w:val="24"/>
          <w:szCs w:val="24"/>
          <w:lang w:val="es-PE"/>
        </w:rPr>
        <w:t>-</w:t>
      </w:r>
      <w:r w:rsidRPr="007F06D0">
        <w:rPr>
          <w:rFonts w:ascii="Garamond" w:hAnsi="Garamond"/>
          <w:color w:val="000000" w:themeColor="text1"/>
          <w:sz w:val="24"/>
          <w:szCs w:val="24"/>
          <w:lang w:val="es-PE"/>
        </w:rPr>
        <w:t>jerarquía divina, creación por ensayo y error, iconografía de seres oculados y alados, sermones finales análogos</w:t>
      </w:r>
      <w:r w:rsidR="00277B2B">
        <w:rPr>
          <w:rFonts w:ascii="Garamond" w:hAnsi="Garamond"/>
          <w:color w:val="000000" w:themeColor="text1"/>
          <w:sz w:val="24"/>
          <w:szCs w:val="24"/>
          <w:lang w:val="es-PE"/>
        </w:rPr>
        <w:t>-</w:t>
      </w:r>
      <w:r w:rsidRPr="007F06D0">
        <w:rPr>
          <w:rFonts w:ascii="Garamond" w:hAnsi="Garamond"/>
          <w:color w:val="000000" w:themeColor="text1"/>
          <w:sz w:val="24"/>
          <w:szCs w:val="24"/>
          <w:lang w:val="es-PE"/>
        </w:rPr>
        <w:t>.</w:t>
      </w:r>
    </w:p>
    <w:p w14:paraId="1313A4D2" w14:textId="00815B57" w:rsidR="007F06D0" w:rsidRDefault="007F06D0" w:rsidP="007F06D0">
      <w:pPr>
        <w:pStyle w:val="Prrafodelista"/>
        <w:numPr>
          <w:ilvl w:val="0"/>
          <w:numId w:val="6"/>
        </w:numPr>
        <w:jc w:val="both"/>
        <w:rPr>
          <w:rFonts w:ascii="Garamond" w:hAnsi="Garamond"/>
          <w:color w:val="000000" w:themeColor="text1"/>
          <w:sz w:val="24"/>
          <w:szCs w:val="24"/>
          <w:lang w:val="es-PE"/>
        </w:rPr>
      </w:pPr>
      <w:r w:rsidRPr="007F06D0">
        <w:rPr>
          <w:rFonts w:ascii="Garamond" w:hAnsi="Garamond"/>
          <w:b/>
          <w:bCs/>
          <w:color w:val="000000" w:themeColor="text1"/>
          <w:sz w:val="24"/>
          <w:szCs w:val="24"/>
          <w:lang w:val="es-PE"/>
        </w:rPr>
        <w:t>Fase 4 (Interpretación):</w:t>
      </w:r>
      <w:r w:rsidRPr="007F06D0">
        <w:rPr>
          <w:rFonts w:ascii="Garamond" w:hAnsi="Garamond"/>
          <w:color w:val="000000" w:themeColor="text1"/>
          <w:sz w:val="24"/>
          <w:szCs w:val="24"/>
          <w:lang w:val="es-PE"/>
        </w:rPr>
        <w:t xml:space="preserve"> Cuestiona las explicaciones tradicionales y propone una hipótesis que da sentido a las incongruencias </w:t>
      </w:r>
      <w:r w:rsidR="00277B2B">
        <w:rPr>
          <w:rFonts w:ascii="Garamond" w:hAnsi="Garamond"/>
          <w:color w:val="000000" w:themeColor="text1"/>
          <w:sz w:val="24"/>
          <w:szCs w:val="24"/>
          <w:lang w:val="es-PE"/>
        </w:rPr>
        <w:t>-</w:t>
      </w:r>
      <w:r w:rsidRPr="007F06D0">
        <w:rPr>
          <w:rFonts w:ascii="Garamond" w:hAnsi="Garamond"/>
          <w:color w:val="000000" w:themeColor="text1"/>
          <w:sz w:val="24"/>
          <w:szCs w:val="24"/>
          <w:lang w:val="es-PE"/>
        </w:rPr>
        <w:t>ofrendas materiales, control demográfico, "desaparición" de los dioses</w:t>
      </w:r>
      <w:r w:rsidR="00277B2B">
        <w:rPr>
          <w:rFonts w:ascii="Garamond" w:hAnsi="Garamond"/>
          <w:color w:val="000000" w:themeColor="text1"/>
          <w:sz w:val="24"/>
          <w:szCs w:val="24"/>
          <w:lang w:val="es-PE"/>
        </w:rPr>
        <w:t>-</w:t>
      </w:r>
      <w:r w:rsidRPr="007F06D0">
        <w:rPr>
          <w:rFonts w:ascii="Garamond" w:hAnsi="Garamond"/>
          <w:color w:val="000000" w:themeColor="text1"/>
          <w:sz w:val="24"/>
          <w:szCs w:val="24"/>
          <w:lang w:val="es-PE"/>
        </w:rPr>
        <w:t>.</w:t>
      </w:r>
    </w:p>
    <w:p w14:paraId="69EEC985" w14:textId="77D94CAB" w:rsidR="008D2D20" w:rsidRPr="00A42FAB" w:rsidRDefault="00277B2B" w:rsidP="00E36EE8">
      <w:pPr>
        <w:spacing w:before="360"/>
        <w:rPr>
          <w:rFonts w:ascii="Garamond" w:hAnsi="Garamond"/>
          <w:b/>
          <w:bCs/>
          <w:color w:val="000000" w:themeColor="text1"/>
          <w:sz w:val="24"/>
          <w:szCs w:val="24"/>
          <w:lang w:val="es-PE"/>
        </w:rPr>
      </w:pPr>
      <w:r>
        <w:rPr>
          <w:rFonts w:ascii="Garamond" w:hAnsi="Garamond"/>
          <w:b/>
          <w:bCs/>
          <w:color w:val="000000" w:themeColor="text1"/>
          <w:sz w:val="24"/>
          <w:szCs w:val="24"/>
          <w:lang w:val="es-PE"/>
        </w:rPr>
        <w:t>Es</w:t>
      </w:r>
      <w:r w:rsidR="008D2D20" w:rsidRPr="00A42FAB">
        <w:rPr>
          <w:rFonts w:ascii="Garamond" w:hAnsi="Garamond"/>
          <w:b/>
          <w:bCs/>
          <w:color w:val="000000" w:themeColor="text1"/>
          <w:sz w:val="24"/>
          <w:szCs w:val="24"/>
          <w:lang w:val="es-PE"/>
        </w:rPr>
        <w:t>t</w:t>
      </w:r>
      <w:r>
        <w:rPr>
          <w:rFonts w:ascii="Garamond" w:hAnsi="Garamond"/>
          <w:b/>
          <w:bCs/>
          <w:color w:val="000000" w:themeColor="text1"/>
          <w:sz w:val="24"/>
          <w:szCs w:val="24"/>
          <w:lang w:val="es-PE"/>
        </w:rPr>
        <w:t>i</w:t>
      </w:r>
      <w:r w:rsidR="008D2D20" w:rsidRPr="00A42FAB">
        <w:rPr>
          <w:rFonts w:ascii="Garamond" w:hAnsi="Garamond"/>
          <w:b/>
          <w:bCs/>
          <w:color w:val="000000" w:themeColor="text1"/>
          <w:sz w:val="24"/>
          <w:szCs w:val="24"/>
          <w:lang w:val="es-PE"/>
        </w:rPr>
        <w:t>l</w:t>
      </w:r>
      <w:r>
        <w:rPr>
          <w:rFonts w:ascii="Garamond" w:hAnsi="Garamond"/>
          <w:b/>
          <w:bCs/>
          <w:color w:val="000000" w:themeColor="text1"/>
          <w:sz w:val="24"/>
          <w:szCs w:val="24"/>
          <w:lang w:val="es-PE"/>
        </w:rPr>
        <w:t>o y</w:t>
      </w:r>
      <w:r w:rsidR="008D2D20" w:rsidRPr="00A42FAB">
        <w:rPr>
          <w:rFonts w:ascii="Garamond" w:hAnsi="Garamond"/>
          <w:b/>
          <w:bCs/>
          <w:color w:val="000000" w:themeColor="text1"/>
          <w:sz w:val="24"/>
          <w:szCs w:val="24"/>
          <w:lang w:val="es-PE"/>
        </w:rPr>
        <w:t xml:space="preserve"> Ton</w:t>
      </w:r>
      <w:r>
        <w:rPr>
          <w:rFonts w:ascii="Garamond" w:hAnsi="Garamond"/>
          <w:b/>
          <w:bCs/>
          <w:color w:val="000000" w:themeColor="text1"/>
          <w:sz w:val="24"/>
          <w:szCs w:val="24"/>
          <w:lang w:val="es-PE"/>
        </w:rPr>
        <w:t>o</w:t>
      </w:r>
      <w:r w:rsidR="008D2D20" w:rsidRPr="00A42FAB">
        <w:rPr>
          <w:rFonts w:ascii="Garamond" w:hAnsi="Garamond"/>
          <w:b/>
          <w:bCs/>
          <w:color w:val="000000" w:themeColor="text1"/>
          <w:sz w:val="24"/>
          <w:szCs w:val="24"/>
          <w:lang w:val="es-PE"/>
        </w:rPr>
        <w:t>:</w:t>
      </w:r>
    </w:p>
    <w:p w14:paraId="0B485514" w14:textId="67CD0591" w:rsidR="00277B2B" w:rsidRPr="00277B2B" w:rsidRDefault="00277B2B" w:rsidP="00277B2B">
      <w:pPr>
        <w:pStyle w:val="Prrafodelista"/>
        <w:numPr>
          <w:ilvl w:val="0"/>
          <w:numId w:val="8"/>
        </w:numPr>
        <w:jc w:val="both"/>
        <w:rPr>
          <w:rFonts w:ascii="Garamond" w:hAnsi="Garamond"/>
          <w:color w:val="000000" w:themeColor="text1"/>
          <w:sz w:val="24"/>
          <w:szCs w:val="24"/>
          <w:lang w:val="es-PE"/>
        </w:rPr>
      </w:pPr>
      <w:r w:rsidRPr="00277B2B">
        <w:rPr>
          <w:rFonts w:ascii="Garamond" w:hAnsi="Garamond"/>
          <w:b/>
          <w:bCs/>
          <w:color w:val="000000" w:themeColor="text1"/>
          <w:sz w:val="24"/>
          <w:szCs w:val="24"/>
          <w:lang w:val="es-PE"/>
        </w:rPr>
        <w:t>Claridad y Accesibilidad</w:t>
      </w:r>
      <w:r w:rsidRPr="00277B2B">
        <w:rPr>
          <w:rFonts w:ascii="Garamond" w:hAnsi="Garamond"/>
          <w:color w:val="000000" w:themeColor="text1"/>
          <w:sz w:val="24"/>
          <w:szCs w:val="24"/>
          <w:lang w:val="es-PE"/>
        </w:rPr>
        <w:t>: Equilibra de forma notable un tono académico serio con una narrativa comprensible para el lector no especializado, sin sacrificar complejidad.</w:t>
      </w:r>
    </w:p>
    <w:p w14:paraId="642C967A" w14:textId="77777777" w:rsidR="00277B2B" w:rsidRDefault="00277B2B" w:rsidP="00277B2B">
      <w:pPr>
        <w:pStyle w:val="Prrafodelista"/>
        <w:numPr>
          <w:ilvl w:val="0"/>
          <w:numId w:val="8"/>
        </w:numPr>
        <w:jc w:val="both"/>
        <w:rPr>
          <w:rFonts w:ascii="Garamond" w:hAnsi="Garamond"/>
          <w:color w:val="000000" w:themeColor="text1"/>
          <w:sz w:val="24"/>
          <w:szCs w:val="24"/>
          <w:lang w:val="es-PE"/>
        </w:rPr>
      </w:pPr>
      <w:r w:rsidRPr="00277B2B">
        <w:rPr>
          <w:rFonts w:ascii="Garamond" w:hAnsi="Garamond"/>
          <w:b/>
          <w:bCs/>
          <w:color w:val="000000" w:themeColor="text1"/>
          <w:sz w:val="24"/>
          <w:szCs w:val="24"/>
          <w:lang w:val="es-PE"/>
        </w:rPr>
        <w:t>Rigor Crítico</w:t>
      </w:r>
      <w:r w:rsidRPr="00277B2B">
        <w:rPr>
          <w:rFonts w:ascii="Garamond" w:hAnsi="Garamond"/>
          <w:color w:val="000000" w:themeColor="text1"/>
          <w:sz w:val="24"/>
          <w:szCs w:val="24"/>
          <w:lang w:val="es-PE"/>
        </w:rPr>
        <w:t>: El análisis de las incongruencias teológicas —como la de un dios perfecto que exige adoración— es filosóficamente sólido y representa uno de los segmentos más potentes de la obra, pues abre la puerta a la necesidad de una nueva explicación.</w:t>
      </w:r>
    </w:p>
    <w:p w14:paraId="12DE6490" w14:textId="77777777" w:rsidR="00950DCB" w:rsidRPr="00950DCB" w:rsidRDefault="00950DCB" w:rsidP="00131E56">
      <w:pPr>
        <w:spacing w:before="600"/>
        <w:rPr>
          <w:rFonts w:ascii="Garamond" w:hAnsi="Garamond"/>
          <w:b/>
          <w:bCs/>
          <w:color w:val="000000" w:themeColor="text1"/>
          <w:sz w:val="24"/>
          <w:szCs w:val="24"/>
          <w:lang w:val="es-PE"/>
        </w:rPr>
      </w:pPr>
      <w:r w:rsidRPr="00950DCB">
        <w:rPr>
          <w:rFonts w:ascii="Garamond" w:hAnsi="Garamond"/>
          <w:b/>
          <w:bCs/>
          <w:color w:val="000000" w:themeColor="text1"/>
          <w:sz w:val="24"/>
          <w:szCs w:val="24"/>
          <w:lang w:val="es-PE"/>
        </w:rPr>
        <w:lastRenderedPageBreak/>
        <w:t>Impresión Final</w:t>
      </w:r>
    </w:p>
    <w:p w14:paraId="2B7F3033" w14:textId="77777777" w:rsidR="00950DCB" w:rsidRPr="00950DCB" w:rsidRDefault="00950DCB" w:rsidP="00950DCB">
      <w:pPr>
        <w:ind w:firstLine="289"/>
        <w:jc w:val="both"/>
        <w:rPr>
          <w:rFonts w:ascii="Garamond" w:hAnsi="Garamond"/>
          <w:color w:val="000000" w:themeColor="text1"/>
          <w:sz w:val="24"/>
          <w:szCs w:val="24"/>
          <w:lang w:val="es-PE"/>
        </w:rPr>
      </w:pPr>
      <w:r w:rsidRPr="00950DCB">
        <w:rPr>
          <w:rFonts w:ascii="Garamond" w:hAnsi="Garamond"/>
          <w:color w:val="000000" w:themeColor="text1"/>
          <w:sz w:val="24"/>
          <w:szCs w:val="24"/>
          <w:lang w:val="es-PE"/>
        </w:rPr>
        <w:t>Esta obra trasciende la mera compilación de mitos para erigirse como una investigación pionera en el campo de la mitología comparada. Construye un argumento tan sólido a favor de la interconexión de las tradiciones religiosas humanas que resulta imposible de ignorar.</w:t>
      </w:r>
    </w:p>
    <w:p w14:paraId="589BE8AF" w14:textId="77777777" w:rsidR="00950DCB" w:rsidRPr="00950DCB" w:rsidRDefault="00950DCB" w:rsidP="00950DCB">
      <w:pPr>
        <w:ind w:firstLine="289"/>
        <w:jc w:val="both"/>
        <w:rPr>
          <w:rFonts w:ascii="Garamond" w:hAnsi="Garamond"/>
          <w:color w:val="000000" w:themeColor="text1"/>
          <w:sz w:val="24"/>
          <w:szCs w:val="24"/>
          <w:lang w:val="es-PE"/>
        </w:rPr>
      </w:pPr>
      <w:r w:rsidRPr="00950DCB">
        <w:rPr>
          <w:rFonts w:ascii="Garamond" w:hAnsi="Garamond"/>
          <w:color w:val="000000" w:themeColor="text1"/>
          <w:sz w:val="24"/>
          <w:szCs w:val="24"/>
          <w:lang w:val="es-PE"/>
        </w:rPr>
        <w:t>Invita a una reflexión profunda sobre la naturaleza de la divinidad, los orígenes de la civilización y la posibilidad de que nuestra historia sea mucho más rica y enigmática de lo que la historiografía convencional ha propuesto. Alcanza lo que toda gran obra persigue: no cerrar un debate, sino abrir uno nuevo y más fascinante.</w:t>
      </w:r>
    </w:p>
    <w:p w14:paraId="09E30268" w14:textId="77777777" w:rsidR="00950DCB" w:rsidRPr="00950DCB" w:rsidRDefault="00950DCB" w:rsidP="00950DCB">
      <w:pPr>
        <w:ind w:firstLine="289"/>
        <w:jc w:val="both"/>
        <w:rPr>
          <w:rFonts w:ascii="Garamond" w:hAnsi="Garamond"/>
          <w:color w:val="000000" w:themeColor="text1"/>
          <w:sz w:val="24"/>
          <w:szCs w:val="24"/>
          <w:lang w:val="es-PE"/>
        </w:rPr>
      </w:pPr>
      <w:r w:rsidRPr="00950DCB">
        <w:rPr>
          <w:rFonts w:ascii="Garamond" w:hAnsi="Garamond"/>
          <w:color w:val="000000" w:themeColor="text1"/>
          <w:sz w:val="24"/>
          <w:szCs w:val="24"/>
          <w:lang w:val="es-PE"/>
        </w:rPr>
        <w:t>Se trata de una conquista monumental en investigación, síntesis y pensamiento original. Ofrece una lente radicalmente nueva a través de la cual observar la historia espiritual de la humanidad.</w:t>
      </w:r>
    </w:p>
    <w:p w14:paraId="02E3B5E4" w14:textId="77777777" w:rsidR="00950DCB" w:rsidRPr="00950DCB" w:rsidRDefault="00950DCB" w:rsidP="00950DCB">
      <w:pPr>
        <w:spacing w:before="360"/>
        <w:rPr>
          <w:rFonts w:ascii="Garamond" w:hAnsi="Garamond"/>
          <w:b/>
          <w:bCs/>
          <w:color w:val="000000" w:themeColor="text1"/>
          <w:sz w:val="24"/>
          <w:szCs w:val="24"/>
          <w:lang w:val="es-PE"/>
        </w:rPr>
      </w:pPr>
      <w:r w:rsidRPr="00950DCB">
        <w:rPr>
          <w:rFonts w:ascii="Garamond" w:hAnsi="Garamond"/>
          <w:b/>
          <w:bCs/>
          <w:color w:val="000000" w:themeColor="text1"/>
          <w:sz w:val="24"/>
          <w:szCs w:val="24"/>
          <w:lang w:val="es-PE"/>
        </w:rPr>
        <w:t>En Resumen</w:t>
      </w:r>
    </w:p>
    <w:p w14:paraId="1B2AE640" w14:textId="5CF5FF94" w:rsidR="00950DCB" w:rsidRPr="00950DCB" w:rsidRDefault="00950DCB" w:rsidP="00950DCB">
      <w:pPr>
        <w:ind w:firstLine="289"/>
        <w:jc w:val="both"/>
        <w:rPr>
          <w:rFonts w:ascii="Garamond" w:hAnsi="Garamond"/>
          <w:color w:val="000000" w:themeColor="text1"/>
          <w:sz w:val="24"/>
          <w:szCs w:val="24"/>
          <w:lang w:val="es-PE"/>
        </w:rPr>
      </w:pPr>
      <w:r w:rsidRPr="00950DCB">
        <w:rPr>
          <w:rFonts w:ascii="Garamond" w:hAnsi="Garamond"/>
          <w:color w:val="000000" w:themeColor="text1"/>
          <w:sz w:val="24"/>
          <w:szCs w:val="24"/>
          <w:lang w:val="es-PE"/>
        </w:rPr>
        <w:t>Este libro no es un texto más sobre OVNIs; es una revolución intelectual que construye un marco metacientífico único para abordar el fenómeno en su totalidad. Su valor reside en la integración rigurosa de disciplinas aparentemente distantes —física, filosofía, historia, psicología, ciencia y tecnología— para ofrecer una exploración seria y transdisciplinar de los grandes enigmas de nuestra existencia.</w:t>
      </w:r>
    </w:p>
    <w:p w14:paraId="17D6CE2A" w14:textId="6D44718C" w:rsidR="004514FC" w:rsidRPr="00A42FAB" w:rsidRDefault="00E36EE8" w:rsidP="00E36EE8">
      <w:pPr>
        <w:pStyle w:val="TEMASTITULO"/>
        <w:spacing w:before="600"/>
        <w:ind w:firstLine="0"/>
        <w:rPr>
          <w:color w:val="2E74B5" w:themeColor="accent5" w:themeShade="BF"/>
          <w:lang w:val="es-PE"/>
        </w:rPr>
      </w:pPr>
      <w:r w:rsidRPr="00A42FAB">
        <w:rPr>
          <w:color w:val="2E74B5" w:themeColor="accent5" w:themeShade="BF"/>
          <w:lang w:val="es-PE"/>
        </w:rPr>
        <w:lastRenderedPageBreak/>
        <w:t>PROLOG</w:t>
      </w:r>
      <w:r w:rsidR="00A42FAB">
        <w:rPr>
          <w:color w:val="2E74B5" w:themeColor="accent5" w:themeShade="BF"/>
          <w:lang w:val="es-PE"/>
        </w:rPr>
        <w:t>O DEL LIBRO</w:t>
      </w:r>
    </w:p>
    <w:p w14:paraId="5C29331C" w14:textId="2F394A95" w:rsidR="00A42FAB" w:rsidRPr="00A42FAB" w:rsidRDefault="00A42FAB" w:rsidP="00950DCB">
      <w:pPr>
        <w:ind w:firstLine="289"/>
        <w:jc w:val="both"/>
        <w:rPr>
          <w:rFonts w:ascii="Garamond" w:hAnsi="Garamond"/>
          <w:sz w:val="24"/>
          <w:szCs w:val="24"/>
          <w:lang w:val="es-PE"/>
        </w:rPr>
      </w:pPr>
      <w:r w:rsidRPr="00A42FAB">
        <w:rPr>
          <w:rFonts w:ascii="Garamond" w:hAnsi="Garamond"/>
          <w:sz w:val="24"/>
          <w:szCs w:val="24"/>
          <w:lang w:val="es-PE"/>
        </w:rPr>
        <w:t>Cuando se habla de OVNIs/UFOs estamos hablando de Objetos Voladores No Identificados. He preferido mantener esa denominación y no utilizar la nueva de Fenómenos Aéreos No Identificados (Del inglés “Unidentified Aerial Phenomena”-UAP) porque es más universal, conocida y específica que la segunda. No obstante, algunas nuevas unidades creadas recientemente en las fuerzas aéreas de diferentes países del mundo prefieren investigar el tema de OVNIs con nombres equivalentes a UAP. Es de resaltar que en tiempos recientes gobiernos de distintos países como USA, Japón, Brasil, Chile, Uruguay, Perú, etc., o bien han reactivado unidades que tuvieron anteriormente, o bien han creado unidades gubernamentales para investigar a los UAP, incluyendo la preparación de protocolos ante posibles primeros contactos alienígenas, o estableciendo estándares de los reportes y registros de los encuentros para su posterior investigación científica y/o el análisis de su seguridad nacional.</w:t>
      </w:r>
    </w:p>
    <w:p w14:paraId="339A8EAB" w14:textId="77777777" w:rsidR="00A42FAB" w:rsidRPr="00A42FAB" w:rsidRDefault="00A42FAB" w:rsidP="00950DCB">
      <w:pPr>
        <w:ind w:firstLine="289"/>
        <w:jc w:val="both"/>
        <w:rPr>
          <w:rFonts w:ascii="Garamond" w:hAnsi="Garamond"/>
          <w:sz w:val="24"/>
          <w:szCs w:val="24"/>
          <w:lang w:val="es-PE"/>
        </w:rPr>
      </w:pPr>
      <w:r w:rsidRPr="00A42FAB">
        <w:rPr>
          <w:rFonts w:ascii="Garamond" w:hAnsi="Garamond"/>
          <w:sz w:val="24"/>
          <w:szCs w:val="24"/>
          <w:lang w:val="es-PE"/>
        </w:rPr>
        <w:t xml:space="preserve">La astronomía se considera correctamente como ciencia, aunque no sea capaz de planear o repetir la experimentación de fenómenos astronómicos, tales como la explosión de una supernova, debiendo esperar la ocurrencia de nuevas explosiones estelares no predecibles en el espacio-tiempo para intentar documentarlas y estudiarlas. Similarmente, la Ufología desde el siglo pasado ha tenido y continúa teniendo incontables avistamientos no predecibles de objetos aéreos no identificados los que intenta documentar para su posterior análisis y síntesis. Los Proyectos Sign (Signo), </w:t>
      </w:r>
      <w:r w:rsidRPr="00A42FAB">
        <w:rPr>
          <w:rFonts w:ascii="Garamond" w:hAnsi="Garamond"/>
          <w:sz w:val="24"/>
          <w:szCs w:val="24"/>
          <w:lang w:val="es-PE"/>
        </w:rPr>
        <w:lastRenderedPageBreak/>
        <w:t>Grudge (Rencor) y Blue Book (Libro Azul) de la USAF, en conjunto con asociaciones civiles americanas como NICAP, CUFOS y APRO han registrado y documentado decenas de miles de avistamientos de fenómenos OVNI, que ni la Comisión Condon de USA con asistencia de la Universidad de Colorado en 1968 pudo explicar en su totalidad mediante causas naturales. Siendo que, al menos el 6% de los miles de casos reportados, en su mayoría por profesionales entrenados y confiables como pilotos de combate y comerciales, solo podrían explicarse con hipótesis de fenómenos del tipo OVNI alienígena.</w:t>
      </w:r>
    </w:p>
    <w:p w14:paraId="4B5FF343" w14:textId="77777777" w:rsidR="00A42FAB" w:rsidRPr="00A42FAB" w:rsidRDefault="00A42FAB" w:rsidP="00950DCB">
      <w:pPr>
        <w:ind w:firstLine="289"/>
        <w:jc w:val="both"/>
        <w:rPr>
          <w:rFonts w:ascii="Garamond" w:hAnsi="Garamond"/>
          <w:sz w:val="24"/>
          <w:szCs w:val="24"/>
          <w:lang w:val="es-PE"/>
        </w:rPr>
      </w:pPr>
      <w:r w:rsidRPr="00A42FAB">
        <w:rPr>
          <w:rFonts w:ascii="Garamond" w:hAnsi="Garamond"/>
          <w:sz w:val="24"/>
          <w:szCs w:val="24"/>
          <w:lang w:val="es-PE"/>
        </w:rPr>
        <w:t>Este libro pretende mostrarle una secuencia de temas filosóficos, culturales y científicos, así como algunas evidencias asombrosas, impresionantes o hasta increíbles respecto a la existencia de los OVNIs de origen alienígena. Evidencias que son verificables mediante las fuentes periodísticas disponibles cuyos testigos y protagonistas son o fueron profesionales o militares reales y respetables.</w:t>
      </w:r>
    </w:p>
    <w:p w14:paraId="3B043392" w14:textId="77777777" w:rsidR="00A42FAB" w:rsidRPr="00A42FAB" w:rsidRDefault="00A42FAB" w:rsidP="00950DCB">
      <w:pPr>
        <w:ind w:firstLine="289"/>
        <w:jc w:val="both"/>
        <w:rPr>
          <w:rFonts w:ascii="Garamond" w:hAnsi="Garamond"/>
          <w:sz w:val="24"/>
          <w:szCs w:val="24"/>
          <w:lang w:val="es-PE"/>
        </w:rPr>
      </w:pPr>
      <w:r w:rsidRPr="00A42FAB">
        <w:rPr>
          <w:rFonts w:ascii="Garamond" w:hAnsi="Garamond"/>
          <w:sz w:val="24"/>
          <w:szCs w:val="24"/>
          <w:lang w:val="es-PE"/>
        </w:rPr>
        <w:t>La epistemología calificaría este libro como de ciencia-ficción. No obstante, sus partes que pueden calificar como “ficción” corresponden a contenidos que tipificarían básicamente como improbables, pero posibles. Los que podrían ser tan reales como lo son sus contraposturas (pues el hecho que algo no se pueda probar tampoco es prueba de lo contrario). Por tanto, dependerá de usted, y de nadie más, definir qué tanta “ficción” le significa su lectura.</w:t>
      </w:r>
    </w:p>
    <w:p w14:paraId="4E6BFA00" w14:textId="61F6D1E3" w:rsidR="0083142D" w:rsidRDefault="00A42FAB" w:rsidP="00950DCB">
      <w:pPr>
        <w:ind w:firstLine="289"/>
        <w:jc w:val="both"/>
        <w:rPr>
          <w:rFonts w:ascii="Garamond" w:hAnsi="Garamond"/>
          <w:sz w:val="24"/>
          <w:szCs w:val="24"/>
          <w:lang w:val="es-PE"/>
        </w:rPr>
      </w:pPr>
      <w:r w:rsidRPr="00A42FAB">
        <w:rPr>
          <w:rFonts w:ascii="Garamond" w:hAnsi="Garamond"/>
          <w:sz w:val="24"/>
          <w:szCs w:val="24"/>
          <w:lang w:val="es-PE"/>
        </w:rPr>
        <w:t xml:space="preserve">Para concluir: Hace algunas décadas la pregunta clave era ¿Existe vida fuera de la Tierra? Hace un poco menos tiempo la pregunta clave fue ¿Han podido llegar a la Tierra? </w:t>
      </w:r>
      <w:r w:rsidRPr="00A42FAB">
        <w:rPr>
          <w:rFonts w:ascii="Garamond" w:hAnsi="Garamond"/>
          <w:sz w:val="24"/>
          <w:szCs w:val="24"/>
          <w:lang w:val="es-PE"/>
        </w:rPr>
        <w:lastRenderedPageBreak/>
        <w:t>Actualmente, luego de la desclasificación oficial de mucha documentación incluyendo material fílmico por las Fuerzas Armadas de los Estados Unidos de América, la pregunta remanente es ¿Para qué han llegado a la Tierra o por qué están aquí?</w:t>
      </w:r>
    </w:p>
    <w:p w14:paraId="03F52144" w14:textId="0A2D7214" w:rsidR="00F20B0B" w:rsidRPr="00F20B0B" w:rsidRDefault="00F20B0B" w:rsidP="00F20B0B">
      <w:pPr>
        <w:spacing w:before="600"/>
        <w:rPr>
          <w:rFonts w:ascii="Garamond" w:hAnsi="Garamond"/>
          <w:b/>
          <w:bCs/>
          <w:sz w:val="24"/>
          <w:szCs w:val="24"/>
          <w:lang w:val="es-PE"/>
        </w:rPr>
      </w:pPr>
      <w:r w:rsidRPr="00F20B0B">
        <w:rPr>
          <w:rFonts w:ascii="Garamond" w:hAnsi="Garamond"/>
          <w:b/>
          <w:bCs/>
          <w:sz w:val="24"/>
          <w:szCs w:val="24"/>
          <w:lang w:val="es-PE"/>
        </w:rPr>
        <w:t>José F. Revoredo</w:t>
      </w:r>
    </w:p>
    <w:sectPr w:rsidR="00F20B0B" w:rsidRPr="00F20B0B" w:rsidSect="006F5059">
      <w:headerReference w:type="default" r:id="rId7"/>
      <w:footerReference w:type="default" r:id="rId8"/>
      <w:pgSz w:w="8391" w:h="11906" w:code="11"/>
      <w:pgMar w:top="1418"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CB19BB" w14:textId="77777777" w:rsidR="00573F33" w:rsidRDefault="00573F33" w:rsidP="00277B2B">
      <w:pPr>
        <w:spacing w:after="0" w:line="240" w:lineRule="auto"/>
      </w:pPr>
      <w:r>
        <w:separator/>
      </w:r>
    </w:p>
  </w:endnote>
  <w:endnote w:type="continuationSeparator" w:id="0">
    <w:p w14:paraId="22111353" w14:textId="77777777" w:rsidR="00573F33" w:rsidRDefault="00573F33" w:rsidP="00277B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2141473"/>
      <w:docPartObj>
        <w:docPartGallery w:val="Page Numbers (Bottom of Page)"/>
        <w:docPartUnique/>
      </w:docPartObj>
    </w:sdtPr>
    <w:sdtContent>
      <w:p w14:paraId="4CA9BE58" w14:textId="4A69B9B1" w:rsidR="00277B2B" w:rsidRDefault="00277B2B">
        <w:pPr>
          <w:pStyle w:val="Piedepgina"/>
        </w:pPr>
        <w:r>
          <w:rPr>
            <w:rFonts w:asciiTheme="majorHAnsi" w:eastAsiaTheme="majorEastAsia" w:hAnsiTheme="majorHAnsi" w:cstheme="majorBidi"/>
            <w:noProof/>
            <w:sz w:val="28"/>
            <w:szCs w:val="28"/>
          </w:rPr>
          <mc:AlternateContent>
            <mc:Choice Requires="wps">
              <w:drawing>
                <wp:anchor distT="0" distB="0" distL="114300" distR="114300" simplePos="0" relativeHeight="251659264" behindDoc="0" locked="0" layoutInCell="1" allowOverlap="1" wp14:anchorId="04CE9065" wp14:editId="55A8987F">
                  <wp:simplePos x="0" y="0"/>
                  <wp:positionH relativeFrom="margin">
                    <wp:align>center</wp:align>
                  </wp:positionH>
                  <wp:positionV relativeFrom="bottomMargin">
                    <wp:align>center</wp:align>
                  </wp:positionV>
                  <wp:extent cx="1282700" cy="343535"/>
                  <wp:effectExtent l="28575" t="19050" r="22225" b="8890"/>
                  <wp:wrapNone/>
                  <wp:docPr id="962461865" name="Cinta: curvada e inclinada hacia abaj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700" cy="343535"/>
                          </a:xfrm>
                          <a:prstGeom prst="ellipseRibbon">
                            <a:avLst>
                              <a:gd name="adj1" fmla="val 25000"/>
                              <a:gd name="adj2" fmla="val 50000"/>
                              <a:gd name="adj3" fmla="val 12500"/>
                            </a:avLst>
                          </a:prstGeom>
                          <a:noFill/>
                          <a:ln w="9525">
                            <a:solidFill>
                              <a:srgbClr val="71A0DC"/>
                            </a:solidFill>
                            <a:round/>
                            <a:headEnd/>
                            <a:tailEnd/>
                          </a:ln>
                          <a:extLst>
                            <a:ext uri="{909E8E84-426E-40DD-AFC4-6F175D3DCCD1}">
                              <a14:hiddenFill xmlns:a14="http://schemas.microsoft.com/office/drawing/2010/main">
                                <a:solidFill>
                                  <a:srgbClr val="17365D"/>
                                </a:solidFill>
                              </a14:hiddenFill>
                            </a:ext>
                          </a:extLst>
                        </wps:spPr>
                        <wps:txbx>
                          <w:txbxContent>
                            <w:p w14:paraId="03861995" w14:textId="77777777" w:rsidR="00277B2B" w:rsidRDefault="00277B2B">
                              <w:pPr>
                                <w:jc w:val="center"/>
                                <w:rPr>
                                  <w:color w:val="4472C4" w:themeColor="accent1"/>
                                </w:rPr>
                              </w:pPr>
                              <w:r>
                                <w:fldChar w:fldCharType="begin"/>
                              </w:r>
                              <w:r>
                                <w:instrText>PAGE    \* MERGEFORMAT</w:instrText>
                              </w:r>
                              <w:r>
                                <w:fldChar w:fldCharType="separate"/>
                              </w:r>
                              <w:r>
                                <w:rPr>
                                  <w:color w:val="4472C4" w:themeColor="accent1"/>
                                  <w:lang w:val="es-ES"/>
                                </w:rPr>
                                <w:t>2</w:t>
                              </w:r>
                              <w:r>
                                <w:rPr>
                                  <w:color w:val="4472C4" w:themeColor="accen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CE9065"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Cinta: curvada e inclinada hacia abajo 1" o:spid="_x0000_s1026" type="#_x0000_t107" style="position:absolute;margin-left:0;margin-top:0;width:101pt;height:27.0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" filled="f" fillcolor="#17365d" strokecolor="#71a0dc">
                  <v:textbox>
                    <w:txbxContent>
                      <w:p w14:paraId="03861995" w14:textId="77777777" w:rsidR="00277B2B" w:rsidRDefault="00277B2B">
                        <w:pPr>
                          <w:jc w:val="center"/>
                          <w:rPr>
                            <w:color w:val="4472C4" w:themeColor="accent1"/>
                          </w:rPr>
                        </w:pPr>
                        <w:r>
                          <w:fldChar w:fldCharType="begin"/>
                        </w:r>
                        <w:r>
                          <w:instrText>PAGE    \* MERGEFORMAT</w:instrText>
                        </w:r>
                        <w:r>
                          <w:fldChar w:fldCharType="separate"/>
                        </w:r>
                        <w:r>
                          <w:rPr>
                            <w:color w:val="4472C4" w:themeColor="accent1"/>
                            <w:lang w:val="es-ES"/>
                          </w:rPr>
                          <w:t>2</w:t>
                        </w:r>
                        <w:r>
                          <w:rPr>
                            <w:color w:val="4472C4" w:themeColor="accent1"/>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5EACC" w14:textId="77777777" w:rsidR="00573F33" w:rsidRDefault="00573F33" w:rsidP="00277B2B">
      <w:pPr>
        <w:spacing w:after="0" w:line="240" w:lineRule="auto"/>
      </w:pPr>
      <w:r>
        <w:separator/>
      </w:r>
    </w:p>
  </w:footnote>
  <w:footnote w:type="continuationSeparator" w:id="0">
    <w:p w14:paraId="37827EE8" w14:textId="77777777" w:rsidR="00573F33" w:rsidRDefault="00573F33" w:rsidP="00277B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98F8E" w14:textId="38C64133" w:rsidR="00277B2B" w:rsidRPr="00277B2B" w:rsidRDefault="00277B2B" w:rsidP="00277B2B">
    <w:pPr>
      <w:pStyle w:val="Encabezado"/>
      <w:jc w:val="right"/>
      <w:rPr>
        <w:i/>
        <w:iCs/>
        <w:lang w:val="es-ES"/>
      </w:rPr>
    </w:pPr>
    <w:r w:rsidRPr="00277B2B">
      <w:rPr>
        <w:i/>
        <w:iCs/>
        <w:lang w:val="es-ES"/>
      </w:rPr>
      <w:t>www.josefrevoredo.com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8B70C0"/>
    <w:multiLevelType w:val="hybridMultilevel"/>
    <w:tmpl w:val="967E00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5D337DD"/>
    <w:multiLevelType w:val="hybridMultilevel"/>
    <w:tmpl w:val="A07E962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6F52C3D"/>
    <w:multiLevelType w:val="hybridMultilevel"/>
    <w:tmpl w:val="918C20F4"/>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D3468E6"/>
    <w:multiLevelType w:val="hybridMultilevel"/>
    <w:tmpl w:val="F5D0F2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0446835"/>
    <w:multiLevelType w:val="hybridMultilevel"/>
    <w:tmpl w:val="32D20C54"/>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EE93D7F"/>
    <w:multiLevelType w:val="hybridMultilevel"/>
    <w:tmpl w:val="BFB4D120"/>
    <w:lvl w:ilvl="0" w:tplc="69FEA468">
      <w:numFmt w:val="bullet"/>
      <w:lvlText w:val="·"/>
      <w:lvlJc w:val="left"/>
      <w:pPr>
        <w:ind w:left="720" w:hanging="360"/>
      </w:pPr>
      <w:rPr>
        <w:rFonts w:ascii="Garamond" w:eastAsiaTheme="minorHAnsi" w:hAnsi="Garamond"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42255047"/>
    <w:multiLevelType w:val="hybridMultilevel"/>
    <w:tmpl w:val="DD5CB32C"/>
    <w:lvl w:ilvl="0" w:tplc="14F0BB32">
      <w:numFmt w:val="bullet"/>
      <w:lvlText w:val="·"/>
      <w:lvlJc w:val="left"/>
      <w:pPr>
        <w:ind w:left="720" w:hanging="360"/>
      </w:pPr>
      <w:rPr>
        <w:rFonts w:ascii="Garamond" w:eastAsiaTheme="minorHAnsi" w:hAnsi="Garamond"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6AB625E2"/>
    <w:multiLevelType w:val="hybridMultilevel"/>
    <w:tmpl w:val="F3FCD0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6E9C3896"/>
    <w:multiLevelType w:val="hybridMultilevel"/>
    <w:tmpl w:val="83D613B6"/>
    <w:lvl w:ilvl="0" w:tplc="06F8A168">
      <w:numFmt w:val="bullet"/>
      <w:lvlText w:val="·"/>
      <w:lvlJc w:val="left"/>
      <w:pPr>
        <w:ind w:left="720" w:hanging="360"/>
      </w:pPr>
      <w:rPr>
        <w:rFonts w:ascii="Garamond" w:eastAsiaTheme="minorHAnsi" w:hAnsi="Garamond"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781340337">
    <w:abstractNumId w:val="7"/>
  </w:num>
  <w:num w:numId="2" w16cid:durableId="169759937">
    <w:abstractNumId w:val="1"/>
  </w:num>
  <w:num w:numId="3" w16cid:durableId="1576940844">
    <w:abstractNumId w:val="0"/>
  </w:num>
  <w:num w:numId="4" w16cid:durableId="1365208175">
    <w:abstractNumId w:val="4"/>
  </w:num>
  <w:num w:numId="5" w16cid:durableId="792095420">
    <w:abstractNumId w:val="6"/>
  </w:num>
  <w:num w:numId="6" w16cid:durableId="447432012">
    <w:abstractNumId w:val="2"/>
  </w:num>
  <w:num w:numId="7" w16cid:durableId="1334916093">
    <w:abstractNumId w:val="5"/>
  </w:num>
  <w:num w:numId="8" w16cid:durableId="1148478871">
    <w:abstractNumId w:val="3"/>
  </w:num>
  <w:num w:numId="9" w16cid:durableId="211419989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256"/>
    <w:rsid w:val="00113867"/>
    <w:rsid w:val="00131E56"/>
    <w:rsid w:val="00181256"/>
    <w:rsid w:val="0025676D"/>
    <w:rsid w:val="00277B2B"/>
    <w:rsid w:val="00295217"/>
    <w:rsid w:val="003A2237"/>
    <w:rsid w:val="003B3F61"/>
    <w:rsid w:val="004514FC"/>
    <w:rsid w:val="00506B10"/>
    <w:rsid w:val="00573F33"/>
    <w:rsid w:val="005B3D65"/>
    <w:rsid w:val="006F5059"/>
    <w:rsid w:val="007F06D0"/>
    <w:rsid w:val="0083142D"/>
    <w:rsid w:val="008D2D20"/>
    <w:rsid w:val="00950DCB"/>
    <w:rsid w:val="00A42FAB"/>
    <w:rsid w:val="00B63479"/>
    <w:rsid w:val="00B97334"/>
    <w:rsid w:val="00D829CA"/>
    <w:rsid w:val="00E36EE8"/>
    <w:rsid w:val="00E56808"/>
    <w:rsid w:val="00F06C9B"/>
    <w:rsid w:val="00F20B0B"/>
    <w:rsid w:val="00F2707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7111AF"/>
  <w15:chartTrackingRefBased/>
  <w15:docId w15:val="{DFE539E2-BD3C-49D9-A9F6-D491094E3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256"/>
    <w:rPr>
      <w:lang w:val="en-US"/>
    </w:rPr>
  </w:style>
  <w:style w:type="paragraph" w:styleId="Ttulo1">
    <w:name w:val="heading 1"/>
    <w:basedOn w:val="Normal"/>
    <w:next w:val="Normal"/>
    <w:link w:val="Ttulo1Car"/>
    <w:uiPriority w:val="9"/>
    <w:qFormat/>
    <w:rsid w:val="0018125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8125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8125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8125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8125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8125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8125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8125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8125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81256"/>
    <w:rPr>
      <w:rFonts w:asciiTheme="majorHAnsi" w:eastAsiaTheme="majorEastAsia" w:hAnsiTheme="majorHAnsi" w:cstheme="majorBidi"/>
      <w:color w:val="2F5496" w:themeColor="accent1" w:themeShade="BF"/>
      <w:sz w:val="40"/>
      <w:szCs w:val="40"/>
      <w:lang w:val="en-US"/>
    </w:rPr>
  </w:style>
  <w:style w:type="character" w:customStyle="1" w:styleId="Ttulo2Car">
    <w:name w:val="Título 2 Car"/>
    <w:basedOn w:val="Fuentedeprrafopredeter"/>
    <w:link w:val="Ttulo2"/>
    <w:uiPriority w:val="9"/>
    <w:semiHidden/>
    <w:rsid w:val="00181256"/>
    <w:rPr>
      <w:rFonts w:asciiTheme="majorHAnsi" w:eastAsiaTheme="majorEastAsia" w:hAnsiTheme="majorHAnsi" w:cstheme="majorBidi"/>
      <w:color w:val="2F5496" w:themeColor="accent1" w:themeShade="BF"/>
      <w:sz w:val="32"/>
      <w:szCs w:val="32"/>
      <w:lang w:val="en-US"/>
    </w:rPr>
  </w:style>
  <w:style w:type="character" w:customStyle="1" w:styleId="Ttulo3Car">
    <w:name w:val="Título 3 Car"/>
    <w:basedOn w:val="Fuentedeprrafopredeter"/>
    <w:link w:val="Ttulo3"/>
    <w:uiPriority w:val="9"/>
    <w:semiHidden/>
    <w:rsid w:val="00181256"/>
    <w:rPr>
      <w:rFonts w:eastAsiaTheme="majorEastAsia" w:cstheme="majorBidi"/>
      <w:color w:val="2F5496" w:themeColor="accent1" w:themeShade="BF"/>
      <w:sz w:val="28"/>
      <w:szCs w:val="28"/>
      <w:lang w:val="en-US"/>
    </w:rPr>
  </w:style>
  <w:style w:type="character" w:customStyle="1" w:styleId="Ttulo4Car">
    <w:name w:val="Título 4 Car"/>
    <w:basedOn w:val="Fuentedeprrafopredeter"/>
    <w:link w:val="Ttulo4"/>
    <w:uiPriority w:val="9"/>
    <w:semiHidden/>
    <w:rsid w:val="00181256"/>
    <w:rPr>
      <w:rFonts w:eastAsiaTheme="majorEastAsia" w:cstheme="majorBidi"/>
      <w:i/>
      <w:iCs/>
      <w:color w:val="2F5496" w:themeColor="accent1" w:themeShade="BF"/>
      <w:lang w:val="en-US"/>
    </w:rPr>
  </w:style>
  <w:style w:type="character" w:customStyle="1" w:styleId="Ttulo5Car">
    <w:name w:val="Título 5 Car"/>
    <w:basedOn w:val="Fuentedeprrafopredeter"/>
    <w:link w:val="Ttulo5"/>
    <w:uiPriority w:val="9"/>
    <w:semiHidden/>
    <w:rsid w:val="00181256"/>
    <w:rPr>
      <w:rFonts w:eastAsiaTheme="majorEastAsia" w:cstheme="majorBidi"/>
      <w:color w:val="2F5496" w:themeColor="accent1" w:themeShade="BF"/>
      <w:lang w:val="en-US"/>
    </w:rPr>
  </w:style>
  <w:style w:type="character" w:customStyle="1" w:styleId="Ttulo6Car">
    <w:name w:val="Título 6 Car"/>
    <w:basedOn w:val="Fuentedeprrafopredeter"/>
    <w:link w:val="Ttulo6"/>
    <w:uiPriority w:val="9"/>
    <w:semiHidden/>
    <w:rsid w:val="00181256"/>
    <w:rPr>
      <w:rFonts w:eastAsiaTheme="majorEastAsia" w:cstheme="majorBidi"/>
      <w:i/>
      <w:iCs/>
      <w:color w:val="595959" w:themeColor="text1" w:themeTint="A6"/>
      <w:lang w:val="en-US"/>
    </w:rPr>
  </w:style>
  <w:style w:type="character" w:customStyle="1" w:styleId="Ttulo7Car">
    <w:name w:val="Título 7 Car"/>
    <w:basedOn w:val="Fuentedeprrafopredeter"/>
    <w:link w:val="Ttulo7"/>
    <w:uiPriority w:val="9"/>
    <w:semiHidden/>
    <w:rsid w:val="00181256"/>
    <w:rPr>
      <w:rFonts w:eastAsiaTheme="majorEastAsia" w:cstheme="majorBidi"/>
      <w:color w:val="595959" w:themeColor="text1" w:themeTint="A6"/>
      <w:lang w:val="en-US"/>
    </w:rPr>
  </w:style>
  <w:style w:type="character" w:customStyle="1" w:styleId="Ttulo8Car">
    <w:name w:val="Título 8 Car"/>
    <w:basedOn w:val="Fuentedeprrafopredeter"/>
    <w:link w:val="Ttulo8"/>
    <w:uiPriority w:val="9"/>
    <w:semiHidden/>
    <w:rsid w:val="00181256"/>
    <w:rPr>
      <w:rFonts w:eastAsiaTheme="majorEastAsia" w:cstheme="majorBidi"/>
      <w:i/>
      <w:iCs/>
      <w:color w:val="272727" w:themeColor="text1" w:themeTint="D8"/>
      <w:lang w:val="en-US"/>
    </w:rPr>
  </w:style>
  <w:style w:type="character" w:customStyle="1" w:styleId="Ttulo9Car">
    <w:name w:val="Título 9 Car"/>
    <w:basedOn w:val="Fuentedeprrafopredeter"/>
    <w:link w:val="Ttulo9"/>
    <w:uiPriority w:val="9"/>
    <w:semiHidden/>
    <w:rsid w:val="00181256"/>
    <w:rPr>
      <w:rFonts w:eastAsiaTheme="majorEastAsia" w:cstheme="majorBidi"/>
      <w:color w:val="272727" w:themeColor="text1" w:themeTint="D8"/>
      <w:lang w:val="en-US"/>
    </w:rPr>
  </w:style>
  <w:style w:type="paragraph" w:styleId="Ttulo">
    <w:name w:val="Title"/>
    <w:basedOn w:val="Normal"/>
    <w:next w:val="Normal"/>
    <w:link w:val="TtuloCar"/>
    <w:uiPriority w:val="10"/>
    <w:qFormat/>
    <w:rsid w:val="001812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81256"/>
    <w:rPr>
      <w:rFonts w:asciiTheme="majorHAnsi" w:eastAsiaTheme="majorEastAsia" w:hAnsiTheme="majorHAnsi" w:cstheme="majorBidi"/>
      <w:spacing w:val="-10"/>
      <w:kern w:val="28"/>
      <w:sz w:val="56"/>
      <w:szCs w:val="56"/>
      <w:lang w:val="en-US"/>
    </w:rPr>
  </w:style>
  <w:style w:type="paragraph" w:styleId="Subttulo">
    <w:name w:val="Subtitle"/>
    <w:basedOn w:val="Normal"/>
    <w:next w:val="Normal"/>
    <w:link w:val="SubttuloCar"/>
    <w:uiPriority w:val="11"/>
    <w:qFormat/>
    <w:rsid w:val="0018125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81256"/>
    <w:rPr>
      <w:rFonts w:eastAsiaTheme="majorEastAsia" w:cstheme="majorBidi"/>
      <w:color w:val="595959" w:themeColor="text1" w:themeTint="A6"/>
      <w:spacing w:val="15"/>
      <w:sz w:val="28"/>
      <w:szCs w:val="28"/>
      <w:lang w:val="en-US"/>
    </w:rPr>
  </w:style>
  <w:style w:type="paragraph" w:styleId="Cita">
    <w:name w:val="Quote"/>
    <w:basedOn w:val="Normal"/>
    <w:next w:val="Normal"/>
    <w:link w:val="CitaCar"/>
    <w:uiPriority w:val="29"/>
    <w:qFormat/>
    <w:rsid w:val="00181256"/>
    <w:pPr>
      <w:spacing w:before="160"/>
      <w:jc w:val="center"/>
    </w:pPr>
    <w:rPr>
      <w:i/>
      <w:iCs/>
      <w:color w:val="404040" w:themeColor="text1" w:themeTint="BF"/>
    </w:rPr>
  </w:style>
  <w:style w:type="character" w:customStyle="1" w:styleId="CitaCar">
    <w:name w:val="Cita Car"/>
    <w:basedOn w:val="Fuentedeprrafopredeter"/>
    <w:link w:val="Cita"/>
    <w:uiPriority w:val="29"/>
    <w:rsid w:val="00181256"/>
    <w:rPr>
      <w:i/>
      <w:iCs/>
      <w:color w:val="404040" w:themeColor="text1" w:themeTint="BF"/>
      <w:lang w:val="en-US"/>
    </w:rPr>
  </w:style>
  <w:style w:type="paragraph" w:styleId="Prrafodelista">
    <w:name w:val="List Paragraph"/>
    <w:basedOn w:val="Normal"/>
    <w:uiPriority w:val="34"/>
    <w:qFormat/>
    <w:rsid w:val="00181256"/>
    <w:pPr>
      <w:ind w:left="720"/>
      <w:contextualSpacing/>
    </w:pPr>
  </w:style>
  <w:style w:type="character" w:styleId="nfasisintenso">
    <w:name w:val="Intense Emphasis"/>
    <w:basedOn w:val="Fuentedeprrafopredeter"/>
    <w:uiPriority w:val="21"/>
    <w:qFormat/>
    <w:rsid w:val="00181256"/>
    <w:rPr>
      <w:i/>
      <w:iCs/>
      <w:color w:val="2F5496" w:themeColor="accent1" w:themeShade="BF"/>
    </w:rPr>
  </w:style>
  <w:style w:type="paragraph" w:styleId="Citadestacada">
    <w:name w:val="Intense Quote"/>
    <w:basedOn w:val="Normal"/>
    <w:next w:val="Normal"/>
    <w:link w:val="CitadestacadaCar"/>
    <w:uiPriority w:val="30"/>
    <w:qFormat/>
    <w:rsid w:val="0018125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81256"/>
    <w:rPr>
      <w:i/>
      <w:iCs/>
      <w:color w:val="2F5496" w:themeColor="accent1" w:themeShade="BF"/>
      <w:lang w:val="en-US"/>
    </w:rPr>
  </w:style>
  <w:style w:type="character" w:styleId="Referenciaintensa">
    <w:name w:val="Intense Reference"/>
    <w:basedOn w:val="Fuentedeprrafopredeter"/>
    <w:uiPriority w:val="32"/>
    <w:qFormat/>
    <w:rsid w:val="00181256"/>
    <w:rPr>
      <w:b/>
      <w:bCs/>
      <w:smallCaps/>
      <w:color w:val="2F5496" w:themeColor="accent1" w:themeShade="BF"/>
      <w:spacing w:val="5"/>
    </w:rPr>
  </w:style>
  <w:style w:type="paragraph" w:customStyle="1" w:styleId="TEMASTITULO">
    <w:name w:val="TEMASTITULO"/>
    <w:basedOn w:val="Normal"/>
    <w:qFormat/>
    <w:rsid w:val="004514FC"/>
    <w:pPr>
      <w:keepNext/>
      <w:keepLines/>
      <w:spacing w:before="240" w:after="240"/>
      <w:ind w:firstLine="289"/>
      <w:jc w:val="center"/>
    </w:pPr>
    <w:rPr>
      <w:rFonts w:ascii="Garamond" w:eastAsia="Times New Roman" w:hAnsi="Garamond" w:cs="Times New Roman"/>
      <w:b/>
      <w:bCs/>
      <w:caps/>
      <w:color w:val="2E74B5"/>
      <w:sz w:val="28"/>
      <w:szCs w:val="32"/>
      <w:lang w:eastAsia="es-ES"/>
    </w:rPr>
  </w:style>
  <w:style w:type="paragraph" w:styleId="Encabezado">
    <w:name w:val="header"/>
    <w:basedOn w:val="Normal"/>
    <w:link w:val="EncabezadoCar"/>
    <w:uiPriority w:val="99"/>
    <w:unhideWhenUsed/>
    <w:rsid w:val="00277B2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77B2B"/>
    <w:rPr>
      <w:lang w:val="en-US"/>
    </w:rPr>
  </w:style>
  <w:style w:type="paragraph" w:styleId="Piedepgina">
    <w:name w:val="footer"/>
    <w:basedOn w:val="Normal"/>
    <w:link w:val="PiedepginaCar"/>
    <w:uiPriority w:val="99"/>
    <w:unhideWhenUsed/>
    <w:rsid w:val="00277B2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77B2B"/>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7</Pages>
  <Words>1259</Words>
  <Characters>6927</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Revoredo</dc:creator>
  <cp:keywords/>
  <dc:description/>
  <cp:lastModifiedBy>Jose Revoredo</cp:lastModifiedBy>
  <cp:revision>7</cp:revision>
  <dcterms:created xsi:type="dcterms:W3CDTF">2025-11-13T22:17:00Z</dcterms:created>
  <dcterms:modified xsi:type="dcterms:W3CDTF">2025-11-13T23:12:00Z</dcterms:modified>
</cp:coreProperties>
</file>